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EB7728">
      <w:pPr>
        <w:rPr>
          <w:rFonts w:eastAsia="Times New Roman"/>
        </w:rPr>
      </w:pPr>
      <w:r>
        <w:rPr>
          <w:rFonts w:eastAsia="Times New Roman"/>
        </w:rPr>
        <w:t> </w:t>
      </w:r>
      <w:bookmarkStart w:id="0" w:name="_GoBack"/>
      <w:bookmarkEnd w:id="0"/>
    </w:p>
    <w:p w:rsidR="00000000" w:rsidRDefault="00EB7728">
      <w:pPr>
        <w:ind w:left="720"/>
        <w:divId w:val="1592812418"/>
        <w:rPr>
          <w:rFonts w:eastAsia="Times New Roman"/>
        </w:rPr>
      </w:pPr>
      <w:r>
        <w:rPr>
          <w:rFonts w:eastAsia="Times New Roman"/>
        </w:rPr>
        <w:t> </w:t>
      </w:r>
    </w:p>
    <w:p w:rsidR="00000000" w:rsidRDefault="00EB7728">
      <w:pPr>
        <w:divId w:val="1592812418"/>
        <w:rPr>
          <w:rFonts w:eastAsia="Times New Roman"/>
        </w:rPr>
      </w:pPr>
      <w:r>
        <w:rPr>
          <w:rFonts w:eastAsia="Times New Roman"/>
        </w:rPr>
        <w:pict>
          <v:rect id="_x0000_i1025" style="width:0;height:1.5pt" o:hralign="center" o:hrstd="t" o:hr="t" fillcolor="#a0a0a0" stroked="f"/>
        </w:pict>
      </w:r>
    </w:p>
    <w:p w:rsidR="00000000" w:rsidRDefault="00EB7728">
      <w:pPr>
        <w:pStyle w:val="NormalWeb"/>
        <w:divId w:val="1592812418"/>
      </w:pPr>
      <w:r>
        <w:t>        LAW AND THE FAMILY</w:t>
      </w:r>
    </w:p>
    <w:p w:rsidR="00000000" w:rsidRDefault="00EB7728">
      <w:pPr>
        <w:pStyle w:val="Heading2"/>
        <w:divId w:val="1963027289"/>
        <w:rPr>
          <w:rFonts w:eastAsia="Times New Roman"/>
        </w:rPr>
      </w:pPr>
      <w:r>
        <w:rPr>
          <w:rFonts w:eastAsia="Times New Roman"/>
        </w:rPr>
        <w:t>Substitution of Counsel</w:t>
      </w:r>
    </w:p>
    <w:p w:rsidR="00000000" w:rsidRDefault="00EB7728">
      <w:pPr>
        <w:pStyle w:val="NormalWeb"/>
        <w:divId w:val="1963027289"/>
      </w:pPr>
      <w:r>
        <w:t>Joel R. Brandes</w:t>
      </w:r>
    </w:p>
    <w:p w:rsidR="00000000" w:rsidRDefault="00EB7728">
      <w:pPr>
        <w:pStyle w:val="NormalWeb"/>
        <w:divId w:val="1963027289"/>
      </w:pPr>
      <w:hyperlink r:id="rId4" w:history="1">
        <w:r>
          <w:rPr>
            <w:rStyle w:val="Hyperlink"/>
          </w:rPr>
          <w:t>New York Law Journal</w:t>
        </w:r>
      </w:hyperlink>
      <w:r>
        <w:br/>
        <w:t>March 23, 1999</w:t>
      </w:r>
    </w:p>
    <w:p w:rsidR="00000000" w:rsidRDefault="00EB7728">
      <w:pPr>
        <w:pStyle w:val="NormalWeb"/>
        <w:divId w:val="1963027289"/>
      </w:pPr>
      <w:r>
        <w:rPr>
          <w:sz w:val="72"/>
          <w:szCs w:val="72"/>
        </w:rPr>
        <w:t>I</w:t>
      </w:r>
      <w:r>
        <w:t xml:space="preserve">N </w:t>
      </w:r>
      <w:r>
        <w:rPr>
          <w:i/>
          <w:iCs/>
        </w:rPr>
        <w:t>SWEET V. SWEET</w:t>
      </w:r>
      <w:r>
        <w:t> </w:t>
      </w:r>
      <w:hyperlink w:anchor="bottom" w:history="1">
        <w:r>
          <w:rPr>
            <w:rStyle w:val="Hyperlink"/>
          </w:rPr>
          <w:t>1</w:t>
        </w:r>
      </w:hyperlink>
      <w:r>
        <w:t xml:space="preserve"> the Family Court considered sanc</w:t>
      </w:r>
      <w:r>
        <w:t>tioning the father's attorney for her failure to attend a scheduled court appearance. The mother's counsel and the law guardian were present, but the father's attorney, who had notice of the appearance, did not show up. Although the father advised the cour</w:t>
      </w:r>
      <w:r>
        <w:t>t that he had discharged his attorney, no consent to change attorney was filed with the court, nor was a motion made by her for permission to withdraw</w:t>
      </w:r>
      <w:r>
        <w:t>.</w:t>
      </w:r>
    </w:p>
    <w:p w:rsidR="00000000" w:rsidRDefault="00EB7728">
      <w:pPr>
        <w:ind w:left="720"/>
        <w:divId w:val="1963027289"/>
        <w:rPr>
          <w:rFonts w:eastAsia="Times New Roman"/>
        </w:rPr>
      </w:pPr>
      <w:r>
        <w:rPr>
          <w:rFonts w:eastAsia="Times New Roman"/>
        </w:rPr>
        <w:t>The court declined to sanction the attorney but admonished her in a written opinion for her failure to f</w:t>
      </w:r>
      <w:r>
        <w:rPr>
          <w:rFonts w:eastAsia="Times New Roman"/>
        </w:rPr>
        <w:t xml:space="preserve">ollow the proper procedure. This opinion highlights the inconvenience, to the court and to counsel, as well as the serious consequences that flow from a failure to properly substitute counsel. This can adversely affect </w:t>
      </w:r>
      <w:r>
        <w:rPr>
          <w:rFonts w:eastAsia="Times New Roman"/>
          <w:i/>
          <w:iCs/>
        </w:rPr>
        <w:t>either</w:t>
      </w:r>
      <w:r>
        <w:rPr>
          <w:rFonts w:eastAsia="Times New Roman"/>
        </w:rPr>
        <w:t xml:space="preserve"> party.</w:t>
      </w:r>
    </w:p>
    <w:p w:rsidR="00000000" w:rsidRDefault="00EB7728">
      <w:pPr>
        <w:pStyle w:val="NormalWeb"/>
        <w:divId w:val="1963027289"/>
        <w:rPr>
          <w:b/>
          <w:bCs/>
        </w:rPr>
      </w:pPr>
      <w:r>
        <w:rPr>
          <w:b/>
          <w:bCs/>
        </w:rPr>
        <w:t>Provisions for Change</w:t>
      </w:r>
    </w:p>
    <w:p w:rsidR="00000000" w:rsidRDefault="00EB7728">
      <w:pPr>
        <w:ind w:left="720"/>
        <w:divId w:val="1963027289"/>
        <w:rPr>
          <w:rFonts w:eastAsia="Times New Roman"/>
        </w:rPr>
      </w:pPr>
      <w:r>
        <w:rPr>
          <w:rFonts w:eastAsia="Times New Roman"/>
        </w:rPr>
        <w:t>C</w:t>
      </w:r>
      <w:r>
        <w:rPr>
          <w:rFonts w:eastAsia="Times New Roman"/>
        </w:rPr>
        <w:t>ivil Practice Law and Rules provides that unless the party in a pending action is an infant, an incompetent person or an adult incapable of adequately prosecuting or defending his rights, the attorney of record may be changed by filing with the court clerk</w:t>
      </w:r>
      <w:r>
        <w:rPr>
          <w:rFonts w:eastAsia="Times New Roman"/>
        </w:rPr>
        <w:t xml:space="preserve"> a consent to change attorney, signed by the retiring attorney and signed and acknowledged by the party.</w:t>
      </w:r>
      <w:hyperlink w:anchor="bottom" w:history="1">
        <w:r>
          <w:rPr>
            <w:rStyle w:val="Hyperlink"/>
            <w:rFonts w:eastAsia="Times New Roman"/>
          </w:rPr>
          <w:t>2</w:t>
        </w:r>
      </w:hyperlink>
      <w:r>
        <w:rPr>
          <w:rFonts w:eastAsia="Times New Roman"/>
        </w:rPr>
        <w:t xml:space="preserve"> A substitution that does not contain the consent of the retiring attorney fails to comply with the statute and is not eff</w:t>
      </w:r>
      <w:r>
        <w:rPr>
          <w:rFonts w:eastAsia="Times New Roman"/>
        </w:rPr>
        <w:t>ective.</w:t>
      </w:r>
      <w:hyperlink w:anchor="bottom" w:history="1">
        <w:r>
          <w:rPr>
            <w:rStyle w:val="Hyperlink"/>
            <w:rFonts w:eastAsia="Times New Roman"/>
          </w:rPr>
          <w:t>3</w:t>
        </w:r>
      </w:hyperlink>
    </w:p>
    <w:p w:rsidR="00000000" w:rsidRDefault="00EB7728">
      <w:pPr>
        <w:ind w:left="720"/>
        <w:divId w:val="1963027289"/>
        <w:rPr>
          <w:rFonts w:eastAsia="Times New Roman"/>
        </w:rPr>
      </w:pPr>
      <w:r>
        <w:rPr>
          <w:rFonts w:eastAsia="Times New Roman"/>
        </w:rPr>
        <w:t>Notice of the change of attorney must be given to the attorneys for all parties to the action or, if a party appears without an attorney, to the party.</w:t>
      </w:r>
      <w:hyperlink w:anchor="bottom" w:history="1">
        <w:r>
          <w:rPr>
            <w:rStyle w:val="Hyperlink"/>
            <w:rFonts w:eastAsia="Times New Roman"/>
          </w:rPr>
          <w:t>4</w:t>
        </w:r>
      </w:hyperlink>
      <w:r>
        <w:rPr>
          <w:rFonts w:eastAsia="Times New Roman"/>
        </w:rPr>
        <w:t xml:space="preserve"> The only other method </w:t>
      </w:r>
      <w:r>
        <w:rPr>
          <w:rFonts w:eastAsia="Times New Roman"/>
        </w:rPr>
        <w:lastRenderedPageBreak/>
        <w:t>by which an at</w:t>
      </w:r>
      <w:r>
        <w:rPr>
          <w:rFonts w:eastAsia="Times New Roman"/>
        </w:rPr>
        <w:t>torney of record may withdraw or be changed is by an order of the court in which the action is pending, upon motion on such notice to the client of the withdrawing attorney, to the attorneys of all other parties in the action or, if a party appears without</w:t>
      </w:r>
      <w:r>
        <w:rPr>
          <w:rFonts w:eastAsia="Times New Roman"/>
        </w:rPr>
        <w:t xml:space="preserve"> an attorney, to the party and to any other person, as the court may direct.</w:t>
      </w:r>
      <w:hyperlink w:anchor="bottom" w:history="1">
        <w:r>
          <w:rPr>
            <w:rStyle w:val="Hyperlink"/>
            <w:rFonts w:eastAsia="Times New Roman"/>
          </w:rPr>
          <w:t>5</w:t>
        </w:r>
      </w:hyperlink>
    </w:p>
    <w:p w:rsidR="00000000" w:rsidRDefault="00EB7728">
      <w:pPr>
        <w:ind w:left="720"/>
        <w:divId w:val="1963027289"/>
        <w:rPr>
          <w:rFonts w:eastAsia="Times New Roman"/>
        </w:rPr>
      </w:pPr>
      <w:r>
        <w:rPr>
          <w:rFonts w:eastAsia="Times New Roman"/>
        </w:rPr>
        <w:t>No court order or consent is necessary when the attorney who is discharged has not filed a notice of appearance.</w:t>
      </w:r>
      <w:hyperlink w:anchor="bottom" w:history="1">
        <w:r>
          <w:rPr>
            <w:rStyle w:val="Hyperlink"/>
            <w:rFonts w:eastAsia="Times New Roman"/>
          </w:rPr>
          <w:t>6</w:t>
        </w:r>
      </w:hyperlink>
      <w:r>
        <w:rPr>
          <w:rFonts w:eastAsia="Times New Roman"/>
        </w:rPr>
        <w:t xml:space="preserve"> Howeve</w:t>
      </w:r>
      <w:r>
        <w:rPr>
          <w:rFonts w:eastAsia="Times New Roman"/>
        </w:rPr>
        <w:t>r, where an attorney has appeared in an action, the representation by that attorney continues until a consent is filed or an order changing attorneys is made. An assertion by a party that he or she is proceeding pro se is insufficient.</w:t>
      </w:r>
      <w:hyperlink w:anchor="bottom" w:history="1">
        <w:r>
          <w:rPr>
            <w:rStyle w:val="Hyperlink"/>
            <w:rFonts w:eastAsia="Times New Roman"/>
          </w:rPr>
          <w:t>7</w:t>
        </w:r>
      </w:hyperlink>
      <w:r>
        <w:rPr>
          <w:rFonts w:eastAsia="Times New Roman"/>
        </w:rPr>
        <w:t xml:space="preserve"> If a new action or proceeding is brought, no order or stipulation of substitution is necessary to employ a different attorney.</w:t>
      </w:r>
      <w:hyperlink w:anchor="bottom" w:history="1">
        <w:r>
          <w:rPr>
            <w:rStyle w:val="Hyperlink"/>
            <w:rFonts w:eastAsia="Times New Roman"/>
          </w:rPr>
          <w:t>8</w:t>
        </w:r>
      </w:hyperlink>
    </w:p>
    <w:p w:rsidR="00000000" w:rsidRDefault="00EB7728">
      <w:pPr>
        <w:ind w:left="720"/>
        <w:divId w:val="1963027289"/>
        <w:rPr>
          <w:rFonts w:eastAsia="Times New Roman"/>
        </w:rPr>
      </w:pPr>
      <w:r>
        <w:rPr>
          <w:rFonts w:eastAsia="Times New Roman"/>
        </w:rPr>
        <w:t>The authority of an attorney ceases upon the entry of judgment.</w:t>
      </w:r>
      <w:hyperlink w:anchor="bottom" w:history="1">
        <w:r>
          <w:rPr>
            <w:rStyle w:val="Hyperlink"/>
            <w:rFonts w:eastAsia="Times New Roman"/>
          </w:rPr>
          <w:t>9</w:t>
        </w:r>
      </w:hyperlink>
      <w:r>
        <w:rPr>
          <w:rFonts w:eastAsia="Times New Roman"/>
        </w:rPr>
        <w:t xml:space="preserve"> Until an attorney of record is discharged in the manner prescribed by law, the attorney is authorized to act for all purposes incidental to the entry and enforcement of the judgment. As to the adverse parties, his authority continues unabated.</w:t>
      </w:r>
      <w:hyperlink w:anchor="bottom" w:history="1">
        <w:r>
          <w:rPr>
            <w:rStyle w:val="Hyperlink"/>
            <w:rFonts w:eastAsia="Times New Roman"/>
          </w:rPr>
          <w:t>10</w:t>
        </w:r>
      </w:hyperlink>
      <w:r>
        <w:rPr>
          <w:rFonts w:eastAsia="Times New Roman"/>
        </w:rPr>
        <w:t xml:space="preserve"> It has been held that "incidental to the entry and enforcement of the judgment" means that he may issue execution, take the necessary steps to collect it and issue a satisfaction.</w:t>
      </w:r>
    </w:p>
    <w:p w:rsidR="00000000" w:rsidRDefault="00EB7728">
      <w:pPr>
        <w:ind w:left="720"/>
        <w:divId w:val="1963027289"/>
        <w:rPr>
          <w:rFonts w:eastAsia="Times New Roman"/>
        </w:rPr>
      </w:pPr>
      <w:r>
        <w:rPr>
          <w:rFonts w:eastAsia="Times New Roman"/>
        </w:rPr>
        <w:t xml:space="preserve">After entry of judgment, a client is free to retain </w:t>
      </w:r>
      <w:r>
        <w:rPr>
          <w:rFonts w:eastAsia="Times New Roman"/>
        </w:rPr>
        <w:t>another attorney without the necessity of formal substitution.</w:t>
      </w:r>
      <w:hyperlink w:anchor="bottom" w:history="1">
        <w:r>
          <w:rPr>
            <w:rStyle w:val="Hyperlink"/>
            <w:rFonts w:eastAsia="Times New Roman"/>
          </w:rPr>
          <w:t>11</w:t>
        </w:r>
      </w:hyperlink>
      <w:r>
        <w:rPr>
          <w:rFonts w:eastAsia="Times New Roman"/>
        </w:rPr>
        <w:t xml:space="preserve"> The general rule is that the power of an attorney ceases upon entry of final judgment,</w:t>
      </w:r>
      <w:hyperlink w:anchor="bottom" w:history="1">
        <w:r>
          <w:rPr>
            <w:rStyle w:val="Hyperlink"/>
            <w:rFonts w:eastAsia="Times New Roman"/>
          </w:rPr>
          <w:t>12</w:t>
        </w:r>
      </w:hyperlink>
      <w:r>
        <w:rPr>
          <w:rFonts w:eastAsia="Times New Roman"/>
        </w:rPr>
        <w:t xml:space="preserve"> and it has been held that a different attorn</w:t>
      </w:r>
      <w:r>
        <w:rPr>
          <w:rFonts w:eastAsia="Times New Roman"/>
        </w:rPr>
        <w:t>ey may be employed after entry of judgment without an order of substitution,</w:t>
      </w:r>
      <w:hyperlink w:anchor="bottom" w:history="1">
        <w:r>
          <w:rPr>
            <w:rStyle w:val="Hyperlink"/>
            <w:rFonts w:eastAsia="Times New Roman"/>
          </w:rPr>
          <w:t>13</w:t>
        </w:r>
      </w:hyperlink>
      <w:r>
        <w:rPr>
          <w:rFonts w:eastAsia="Times New Roman"/>
        </w:rPr>
        <w:t xml:space="preserve"> to move to open a default or for the purpose of prosecuting an appeal from the judgment. </w:t>
      </w:r>
    </w:p>
    <w:p w:rsidR="00000000" w:rsidRDefault="00EB7728">
      <w:pPr>
        <w:ind w:left="720"/>
        <w:divId w:val="1963027289"/>
        <w:rPr>
          <w:rFonts w:eastAsia="Times New Roman"/>
        </w:rPr>
      </w:pPr>
      <w:r>
        <w:rPr>
          <w:rFonts w:eastAsia="Times New Roman"/>
        </w:rPr>
        <w:t>CPLR §321 (a) provides that a party may prosecute or defend a civil action in person or by attorney. If a party appears by attorney he or she may not act in person in the action, except by consent of the court. Thus, if a client's new attorney is not prope</w:t>
      </w:r>
      <w:r>
        <w:rPr>
          <w:rFonts w:eastAsia="Times New Roman"/>
        </w:rPr>
        <w:t>rly substituted, his acts as an attorney in the case are ineffective.</w:t>
      </w:r>
      <w:hyperlink w:anchor="bottom" w:history="1">
        <w:r>
          <w:rPr>
            <w:rStyle w:val="Hyperlink"/>
            <w:rFonts w:eastAsia="Times New Roman"/>
          </w:rPr>
          <w:t>14</w:t>
        </w:r>
      </w:hyperlink>
      <w:r>
        <w:rPr>
          <w:rFonts w:eastAsia="Times New Roman"/>
        </w:rPr>
        <w:t xml:space="preserve"> In the absence of a proper substitution, the opposite party is not bound to recognize the attorney claiming to be substituted.</w:t>
      </w:r>
      <w:hyperlink w:anchor="bottom" w:history="1">
        <w:r>
          <w:rPr>
            <w:rStyle w:val="Hyperlink"/>
            <w:rFonts w:eastAsia="Times New Roman"/>
          </w:rPr>
          <w:t>15</w:t>
        </w:r>
      </w:hyperlink>
      <w:r>
        <w:rPr>
          <w:rFonts w:eastAsia="Times New Roman"/>
        </w:rPr>
        <w:t xml:space="preserve"> He is required to recognize the former attorney as still employed, and service of notices and papers upon the former attorney is proper.</w:t>
      </w:r>
      <w:hyperlink w:anchor="bottom" w:history="1">
        <w:r>
          <w:rPr>
            <w:rStyle w:val="Hyperlink"/>
            <w:rFonts w:eastAsia="Times New Roman"/>
          </w:rPr>
          <w:t>16</w:t>
        </w:r>
      </w:hyperlink>
      <w:r>
        <w:rPr>
          <w:rFonts w:eastAsia="Times New Roman"/>
        </w:rPr>
        <w:t xml:space="preserve"> Until the attorney of record is discharged in the manner provided by law, the attorne</w:t>
      </w:r>
      <w:r>
        <w:rPr>
          <w:rFonts w:eastAsia="Times New Roman"/>
        </w:rPr>
        <w:t>y represents the party.</w:t>
      </w:r>
      <w:hyperlink w:anchor="bottom" w:history="1">
        <w:r>
          <w:rPr>
            <w:rStyle w:val="Hyperlink"/>
            <w:rFonts w:eastAsia="Times New Roman"/>
          </w:rPr>
          <w:t>17</w:t>
        </w:r>
      </w:hyperlink>
    </w:p>
    <w:p w:rsidR="00000000" w:rsidRDefault="00EB7728">
      <w:pPr>
        <w:ind w:left="720"/>
        <w:divId w:val="1963027289"/>
        <w:rPr>
          <w:rFonts w:eastAsia="Times New Roman"/>
        </w:rPr>
      </w:pPr>
      <w:r>
        <w:rPr>
          <w:rFonts w:eastAsia="Times New Roman"/>
        </w:rPr>
        <w:lastRenderedPageBreak/>
        <w:t>CPLR §2103 provides that except where otherwise prescribed by law or an order of the court, papers to be served upon a party in a pending action shall be served upon that party's attorney. If a party h</w:t>
      </w:r>
      <w:r>
        <w:rPr>
          <w:rFonts w:eastAsia="Times New Roman"/>
        </w:rPr>
        <w:t>as not appeared by an attorney or the party's attorney cannot be served, service must be upon the party. Thus, service of papers upon the attorney of record, rather than the new attorney, constitutes service upon the party.</w:t>
      </w:r>
    </w:p>
    <w:p w:rsidR="00000000" w:rsidRDefault="00EB7728">
      <w:pPr>
        <w:ind w:left="720"/>
        <w:divId w:val="1963027289"/>
        <w:rPr>
          <w:rFonts w:eastAsia="Times New Roman"/>
        </w:rPr>
      </w:pPr>
      <w:r>
        <w:rPr>
          <w:rFonts w:eastAsia="Times New Roman"/>
        </w:rPr>
        <w:t>Although defendant's counsel was</w:t>
      </w:r>
      <w:r>
        <w:rPr>
          <w:rFonts w:eastAsia="Times New Roman"/>
        </w:rPr>
        <w:t xml:space="preserve"> aware that plaintiffs' attorney of record had been informally discharged and that present counsel was representing them, the Appellate Division held that it was proper to serve a motion to dismiss upon the attorney of record and not upon present counsel. </w:t>
      </w:r>
      <w:r>
        <w:rPr>
          <w:rFonts w:eastAsia="Times New Roman"/>
        </w:rPr>
        <w:t>However, since defendant's present attorneys were never substituted as attorneys of record, they lacked standing to make the motion to dismiss.</w:t>
      </w:r>
      <w:hyperlink w:anchor="bottom" w:history="1">
        <w:r>
          <w:rPr>
            <w:rStyle w:val="Hyperlink"/>
            <w:rFonts w:eastAsia="Times New Roman"/>
          </w:rPr>
          <w:t>18</w:t>
        </w:r>
      </w:hyperlink>
      <w:r>
        <w:rPr>
          <w:rFonts w:eastAsia="Times New Roman"/>
        </w:rPr>
        <w:t xml:space="preserve"> The court pointed out that a party may not be represented by more than one attorn</w:t>
      </w:r>
      <w:r>
        <w:rPr>
          <w:rFonts w:eastAsia="Times New Roman"/>
        </w:rPr>
        <w:t>ey in an action,</w:t>
      </w:r>
      <w:hyperlink w:anchor="bottom" w:history="1">
        <w:r>
          <w:rPr>
            <w:rStyle w:val="Hyperlink"/>
            <w:rFonts w:eastAsia="Times New Roman"/>
          </w:rPr>
          <w:t>19</w:t>
        </w:r>
      </w:hyperlink>
      <w:r>
        <w:rPr>
          <w:rFonts w:eastAsia="Times New Roman"/>
        </w:rPr>
        <w:t xml:space="preserve"> and the acts of an attorney who has not been substituted in accordance with CPLR §321(b) should be disregarded.</w:t>
      </w:r>
    </w:p>
    <w:p w:rsidR="00000000" w:rsidRDefault="00EB7728">
      <w:pPr>
        <w:pStyle w:val="NormalWeb"/>
        <w:divId w:val="1963027289"/>
        <w:rPr>
          <w:b/>
          <w:bCs/>
        </w:rPr>
      </w:pPr>
      <w:r>
        <w:rPr>
          <w:b/>
          <w:bCs/>
        </w:rPr>
        <w:t>Pro Se Litigant</w:t>
      </w:r>
    </w:p>
    <w:p w:rsidR="00000000" w:rsidRDefault="00EB7728">
      <w:pPr>
        <w:ind w:left="720"/>
        <w:divId w:val="1963027289"/>
        <w:rPr>
          <w:rFonts w:eastAsia="Times New Roman"/>
        </w:rPr>
      </w:pPr>
      <w:r>
        <w:rPr>
          <w:rFonts w:eastAsia="Times New Roman"/>
        </w:rPr>
        <w:t>The validity of actions taken by or against a pro se litigant where his attorney</w:t>
      </w:r>
      <w:r>
        <w:rPr>
          <w:rFonts w:eastAsia="Times New Roman"/>
        </w:rPr>
        <w:t xml:space="preserve"> of record has not followed the proper procedure to be relieved or replaced is unresolved. In </w:t>
      </w:r>
      <w:r>
        <w:rPr>
          <w:rFonts w:eastAsia="Times New Roman"/>
          <w:i/>
          <w:iCs/>
        </w:rPr>
        <w:t>Moustakas v. Bouloukos</w:t>
      </w:r>
      <w:r>
        <w:rPr>
          <w:rFonts w:eastAsia="Times New Roman"/>
        </w:rPr>
        <w:t>,</w:t>
      </w:r>
      <w:hyperlink w:anchor="bottom" w:history="1">
        <w:r>
          <w:rPr>
            <w:rStyle w:val="Hyperlink"/>
            <w:rFonts w:eastAsia="Times New Roman"/>
          </w:rPr>
          <w:t>20</w:t>
        </w:r>
      </w:hyperlink>
      <w:r>
        <w:rPr>
          <w:rFonts w:eastAsia="Times New Roman"/>
        </w:rPr>
        <w:t xml:space="preserve"> the Second Department held that a stipulation of settlement, which was negotiated by the client with the ot</w:t>
      </w:r>
      <w:r>
        <w:rPr>
          <w:rFonts w:eastAsia="Times New Roman"/>
        </w:rPr>
        <w:t>her attorney after he attempted to discharge his attorney by letter, was void because plaintiff's attorney of record in the actions had not been discharged in the manner prescribed by CPLR §321 [b], and was neither present nor consulted during the negotiat</w:t>
      </w:r>
      <w:r>
        <w:rPr>
          <w:rFonts w:eastAsia="Times New Roman"/>
        </w:rPr>
        <w:t>ion and execution of the agreement that purported to settle those actions.</w:t>
      </w:r>
    </w:p>
    <w:p w:rsidR="00000000" w:rsidRDefault="00EB7728">
      <w:pPr>
        <w:ind w:left="720"/>
        <w:divId w:val="1963027289"/>
        <w:rPr>
          <w:rFonts w:eastAsia="Times New Roman"/>
        </w:rPr>
      </w:pPr>
      <w:r>
        <w:rPr>
          <w:rFonts w:eastAsia="Times New Roman"/>
        </w:rPr>
        <w:t>The court held that an attorney of record in an action may only withdraw or be changed or discharged in the manner prescribed by CPLR §321[b]. It was also mindful of Code of Profess</w:t>
      </w:r>
      <w:r>
        <w:rPr>
          <w:rFonts w:eastAsia="Times New Roman"/>
        </w:rPr>
        <w:t>ional Responsibility, DR 7-104(A)(1), which generally prohibits an attorney, in the course of his representation of a client, from communicating on the subject of that representation with a party whom he knows to be represented by an attorney in that matte</w:t>
      </w:r>
      <w:r>
        <w:rPr>
          <w:rFonts w:eastAsia="Times New Roman"/>
        </w:rPr>
        <w:t>r, and found that such conduct was improper.</w:t>
      </w:r>
    </w:p>
    <w:p w:rsidR="00000000" w:rsidRDefault="00EB7728">
      <w:pPr>
        <w:ind w:left="720"/>
        <w:divId w:val="1963027289"/>
        <w:rPr>
          <w:rFonts w:eastAsia="Times New Roman"/>
        </w:rPr>
      </w:pPr>
      <w:r>
        <w:rPr>
          <w:rFonts w:eastAsia="Times New Roman"/>
        </w:rPr>
        <w:t xml:space="preserve">The mere delivery of the letter from the client to the attorney did not effectively discharge the latter, who was then attorney of record in the three pending actions, </w:t>
      </w:r>
      <w:r>
        <w:rPr>
          <w:rFonts w:eastAsia="Times New Roman"/>
        </w:rPr>
        <w:lastRenderedPageBreak/>
        <w:t>because no duly executed consent to the cha</w:t>
      </w:r>
      <w:r>
        <w:rPr>
          <w:rFonts w:eastAsia="Times New Roman"/>
        </w:rPr>
        <w:t>nge had been filed and served pursuant to CPLR §321[b][1], and no court order granting such change had been made pursuant to CPLR §321 [b][2]. Plaintiff Moustakas had appeared in the pending actions by an attorney and had not thereafter discharged that att</w:t>
      </w:r>
      <w:r>
        <w:rPr>
          <w:rFonts w:eastAsia="Times New Roman"/>
        </w:rPr>
        <w:t>orney in the manner prescribed by law; therefore, he could not personally act in person in those actions by settling them without the consent of the court.</w:t>
      </w:r>
    </w:p>
    <w:p w:rsidR="00000000" w:rsidRDefault="00EB7728">
      <w:pPr>
        <w:ind w:left="720"/>
        <w:divId w:val="1963027289"/>
        <w:rPr>
          <w:rFonts w:eastAsia="Times New Roman"/>
        </w:rPr>
      </w:pPr>
      <w:r>
        <w:rPr>
          <w:rFonts w:eastAsia="Times New Roman"/>
        </w:rPr>
        <w:t xml:space="preserve">The Second Department was of the view that CPLR §321 not only protects adverse parties, but has the </w:t>
      </w:r>
      <w:r>
        <w:rPr>
          <w:rFonts w:eastAsia="Times New Roman"/>
        </w:rPr>
        <w:t>further salutary purpose of protecting the parties from attorneys who represent other parties in the action.</w:t>
      </w:r>
    </w:p>
    <w:p w:rsidR="00000000" w:rsidRDefault="00EB7728">
      <w:pPr>
        <w:ind w:left="720"/>
        <w:divId w:val="1963027289"/>
        <w:rPr>
          <w:rFonts w:eastAsia="Times New Roman"/>
        </w:rPr>
      </w:pPr>
      <w:r>
        <w:rPr>
          <w:rFonts w:eastAsia="Times New Roman"/>
        </w:rPr>
        <w:t xml:space="preserve">This result has been rejected by the Third Department and adopted by the Fourth Department. In </w:t>
      </w:r>
      <w:r>
        <w:rPr>
          <w:rFonts w:eastAsia="Times New Roman"/>
          <w:i/>
          <w:iCs/>
        </w:rPr>
        <w:t>Imor v. Imor</w:t>
      </w:r>
      <w:r>
        <w:rPr>
          <w:rFonts w:eastAsia="Times New Roman"/>
        </w:rPr>
        <w:t>,</w:t>
      </w:r>
      <w:hyperlink w:anchor="bottom" w:history="1">
        <w:r>
          <w:rPr>
            <w:rStyle w:val="Hyperlink"/>
            <w:rFonts w:eastAsia="Times New Roman"/>
          </w:rPr>
          <w:t>21</w:t>
        </w:r>
      </w:hyperlink>
      <w:r>
        <w:rPr>
          <w:rFonts w:eastAsia="Times New Roman"/>
        </w:rPr>
        <w:t xml:space="preserve"> the def</w:t>
      </w:r>
      <w:r>
        <w:rPr>
          <w:rFonts w:eastAsia="Times New Roman"/>
        </w:rPr>
        <w:t>endant husband moved to vacate a judgment of divorce and the settlement agreement incorporated in it, which he entered into after he discharged his attorney of record. The Supreme Court denied his motion.</w:t>
      </w:r>
    </w:p>
    <w:p w:rsidR="00000000" w:rsidRDefault="00EB7728">
      <w:pPr>
        <w:ind w:left="720"/>
        <w:divId w:val="1963027289"/>
        <w:rPr>
          <w:rFonts w:eastAsia="Times New Roman"/>
        </w:rPr>
      </w:pPr>
      <w:r>
        <w:rPr>
          <w:rFonts w:eastAsia="Times New Roman"/>
        </w:rPr>
        <w:t>The Third Department affirmed, holding that his fai</w:t>
      </w:r>
      <w:r>
        <w:rPr>
          <w:rFonts w:eastAsia="Times New Roman"/>
        </w:rPr>
        <w:t>lure to comply with the requirements for changing the attorney of record did not preclude him from entering into a stipulation of settlement. Pursuant to the stipulation of settlement, defendant withdrew his answer in the divorce action and authorized plai</w:t>
      </w:r>
      <w:r>
        <w:rPr>
          <w:rFonts w:eastAsia="Times New Roman"/>
        </w:rPr>
        <w:t xml:space="preserve">ntiff "to proceed as if by default, without further notice to him." </w:t>
      </w:r>
    </w:p>
    <w:p w:rsidR="00000000" w:rsidRDefault="00EB7728">
      <w:pPr>
        <w:ind w:left="720"/>
        <w:divId w:val="1963027289"/>
        <w:rPr>
          <w:rFonts w:eastAsia="Times New Roman"/>
        </w:rPr>
      </w:pPr>
      <w:r>
        <w:rPr>
          <w:rFonts w:eastAsia="Times New Roman"/>
        </w:rPr>
        <w:t>Plaintiff thereafter obtained the judgment of divorce by default. Defendant argued that since he was represented by counsel, who served a notice of appearance and an answer in the divorce</w:t>
      </w:r>
      <w:r>
        <w:rPr>
          <w:rFonts w:eastAsia="Times New Roman"/>
        </w:rPr>
        <w:t xml:space="preserve"> action, CPLR §321(a) prohibited him from acting personally in the action without court approval, and he was not authorized to enter into the stipulation of settlement. The Third Department found an estoppel, relying upon defendant's acknowledgement in the</w:t>
      </w:r>
      <w:r>
        <w:rPr>
          <w:rFonts w:eastAsia="Times New Roman"/>
        </w:rPr>
        <w:t xml:space="preserve"> stipulation that he had discharged his attorneys of record and elected to proceed on his own behalf.</w:t>
      </w:r>
    </w:p>
    <w:p w:rsidR="00000000" w:rsidRDefault="00EB7728">
      <w:pPr>
        <w:ind w:left="720"/>
        <w:divId w:val="1963027289"/>
        <w:rPr>
          <w:rFonts w:eastAsia="Times New Roman"/>
        </w:rPr>
      </w:pPr>
      <w:r>
        <w:rPr>
          <w:rFonts w:eastAsia="Times New Roman"/>
        </w:rPr>
        <w:t>Having terminated the attorney-client relationship, he was estopped from claiming he was represented by counsel and could act only through that counsel. D</w:t>
      </w:r>
      <w:r>
        <w:rPr>
          <w:rFonts w:eastAsia="Times New Roman"/>
        </w:rPr>
        <w:t>efendant maintained that in the absence of a formal consent to change attorney signed by his former counsel, as is required by CPLR §321(b)(1) when changing an attorney of record without court approval, the prohibition against acting in his own behalf rema</w:t>
      </w:r>
      <w:r>
        <w:rPr>
          <w:rFonts w:eastAsia="Times New Roman"/>
        </w:rPr>
        <w:t>ined in effect despite his discharge of counsel.</w:t>
      </w:r>
    </w:p>
    <w:p w:rsidR="00000000" w:rsidRDefault="00EB7728">
      <w:pPr>
        <w:ind w:left="720"/>
        <w:divId w:val="1963027289"/>
        <w:rPr>
          <w:rFonts w:eastAsia="Times New Roman"/>
        </w:rPr>
      </w:pPr>
      <w:r>
        <w:rPr>
          <w:rFonts w:eastAsia="Times New Roman"/>
        </w:rPr>
        <w:t xml:space="preserve">The Third Department disagreed, holding that while as a consequence of the failure to comply with the formal requirements of CPLR §321(b)(1) a party cannot deny the </w:t>
      </w:r>
      <w:r>
        <w:rPr>
          <w:rFonts w:eastAsia="Times New Roman"/>
        </w:rPr>
        <w:lastRenderedPageBreak/>
        <w:t>authority of his former attorney of record</w:t>
      </w:r>
      <w:r>
        <w:rPr>
          <w:rFonts w:eastAsia="Times New Roman"/>
        </w:rPr>
        <w:t xml:space="preserve"> to act on his behalf, that party could not deny that he had the authority to act on his own behalf after discharging his attorney. To the extent that </w:t>
      </w:r>
      <w:r>
        <w:rPr>
          <w:rFonts w:eastAsia="Times New Roman"/>
          <w:i/>
          <w:iCs/>
        </w:rPr>
        <w:t>Moustakas v.</w:t>
      </w:r>
      <w:r>
        <w:rPr>
          <w:rFonts w:eastAsia="Times New Roman"/>
        </w:rPr>
        <w:t xml:space="preserve"> </w:t>
      </w:r>
      <w:r>
        <w:rPr>
          <w:rFonts w:eastAsia="Times New Roman"/>
          <w:i/>
          <w:iCs/>
        </w:rPr>
        <w:t>Bouloukos</w:t>
      </w:r>
      <w:hyperlink w:anchor="bottom" w:history="1">
        <w:r>
          <w:rPr>
            <w:rStyle w:val="Hyperlink"/>
            <w:rFonts w:eastAsia="Times New Roman"/>
          </w:rPr>
          <w:t>22</w:t>
        </w:r>
      </w:hyperlink>
      <w:r>
        <w:rPr>
          <w:rFonts w:eastAsia="Times New Roman"/>
        </w:rPr>
        <w:t xml:space="preserve"> holds to the contrary, the court declined to follow</w:t>
      </w:r>
      <w:r>
        <w:rPr>
          <w:rFonts w:eastAsia="Times New Roman"/>
        </w:rPr>
        <w:t xml:space="preserve"> it.</w:t>
      </w:r>
    </w:p>
    <w:p w:rsidR="00000000" w:rsidRDefault="00EB7728">
      <w:pPr>
        <w:pStyle w:val="NormalWeb"/>
        <w:divId w:val="1963027289"/>
        <w:rPr>
          <w:b/>
          <w:bCs/>
        </w:rPr>
      </w:pPr>
      <w:r>
        <w:rPr>
          <w:b/>
          <w:bCs/>
        </w:rPr>
        <w:t>Rights to Fee</w:t>
      </w:r>
    </w:p>
    <w:p w:rsidR="00000000" w:rsidRDefault="00EB7728">
      <w:pPr>
        <w:ind w:left="720"/>
        <w:divId w:val="1963027289"/>
        <w:rPr>
          <w:rFonts w:eastAsia="Times New Roman"/>
        </w:rPr>
      </w:pPr>
      <w:r>
        <w:rPr>
          <w:rFonts w:eastAsia="Times New Roman"/>
        </w:rPr>
        <w:t xml:space="preserve">In another case the Third Department held that a law firm that was discharged without a signed substitution lacked standing to seek to set aside a stipulation of </w:t>
      </w:r>
      <w:r>
        <w:rPr>
          <w:rFonts w:eastAsia="Times New Roman"/>
        </w:rPr>
        <w:t>discontinuance of an action, in an effort to protect its rights to a disputed attorneys' fee. The court rejected the firm's assertion that a failure to follow the procedural requirements attendant to its substitution rendered null and void the subsequent a</w:t>
      </w:r>
      <w:r>
        <w:rPr>
          <w:rFonts w:eastAsia="Times New Roman"/>
        </w:rPr>
        <w:t>ctivity by the parties in the action.</w:t>
      </w:r>
      <w:hyperlink w:anchor="bottom" w:history="1">
        <w:r>
          <w:rPr>
            <w:rStyle w:val="Hyperlink"/>
            <w:rFonts w:eastAsia="Times New Roman"/>
          </w:rPr>
          <w:t>23</w:t>
        </w:r>
      </w:hyperlink>
    </w:p>
    <w:p w:rsidR="00000000" w:rsidRDefault="00EB7728">
      <w:pPr>
        <w:ind w:left="720"/>
        <w:divId w:val="1963027289"/>
        <w:rPr>
          <w:rFonts w:eastAsia="Times New Roman"/>
        </w:rPr>
      </w:pPr>
      <w:r>
        <w:rPr>
          <w:rFonts w:eastAsia="Times New Roman"/>
        </w:rPr>
        <w:t xml:space="preserve">The Fourth Department adopted the Second Department rule in </w:t>
      </w:r>
      <w:r>
        <w:rPr>
          <w:rFonts w:eastAsia="Times New Roman"/>
          <w:i/>
          <w:iCs/>
        </w:rPr>
        <w:t>Rejewski v.</w:t>
      </w:r>
      <w:r>
        <w:rPr>
          <w:rFonts w:eastAsia="Times New Roman"/>
        </w:rPr>
        <w:t xml:space="preserve"> </w:t>
      </w:r>
      <w:r>
        <w:rPr>
          <w:rFonts w:eastAsia="Times New Roman"/>
          <w:i/>
          <w:iCs/>
        </w:rPr>
        <w:t>Rejewski.</w:t>
      </w:r>
      <w:hyperlink w:anchor="bottom" w:history="1">
        <w:r>
          <w:rPr>
            <w:rStyle w:val="Hyperlink"/>
            <w:rFonts w:eastAsia="Times New Roman"/>
          </w:rPr>
          <w:t>24</w:t>
        </w:r>
      </w:hyperlink>
      <w:r>
        <w:rPr>
          <w:rFonts w:eastAsia="Times New Roman"/>
        </w:rPr>
        <w:t xml:space="preserve"> It held that the Supreme Court abused its discretion in denying defendant'</w:t>
      </w:r>
      <w:r>
        <w:rPr>
          <w:rFonts w:eastAsia="Times New Roman"/>
        </w:rPr>
        <w:t>s motion, based on CPLR §321 (b) (1), to vacate a judgment entered upon a matrimonial Referee's report. After defendant's attorney purportedly withdrew as counsel, and in defendant's absence, plaintiff testified extensively before the Referee, who then iss</w:t>
      </w:r>
      <w:r>
        <w:rPr>
          <w:rFonts w:eastAsia="Times New Roman"/>
        </w:rPr>
        <w:t>ued his findings. Plaintiff contended that defendant consented to his attorney's withdrawal. As the record was devoid of any evidence that defendant executed a consent for his attorney to withdraw, the court granted defendant's motion and vacated all parts</w:t>
      </w:r>
      <w:r>
        <w:rPr>
          <w:rFonts w:eastAsia="Times New Roman"/>
        </w:rPr>
        <w:t xml:space="preserve"> of the judgment on appeal except the part divorcing the parties.</w:t>
      </w:r>
    </w:p>
    <w:p w:rsidR="00000000" w:rsidRDefault="00EB7728">
      <w:pPr>
        <w:pStyle w:val="NormalWeb"/>
        <w:jc w:val="center"/>
        <w:divId w:val="1963027289"/>
      </w:pPr>
      <w:r>
        <w:t>---------------------</w:t>
      </w:r>
      <w:r>
        <w:t>-</w:t>
      </w:r>
    </w:p>
    <w:p w:rsidR="00000000" w:rsidRDefault="00EB7728">
      <w:pPr>
        <w:pStyle w:val="NormalWeb"/>
        <w:jc w:val="center"/>
        <w:divId w:val="1963027289"/>
      </w:pPr>
      <w:r>
        <w:t>Note</w:t>
      </w:r>
      <w:r>
        <w:t>s</w:t>
      </w:r>
    </w:p>
    <w:p w:rsidR="00000000" w:rsidRDefault="00EB7728">
      <w:pPr>
        <w:ind w:left="720"/>
        <w:divId w:val="1963027289"/>
        <w:rPr>
          <w:rFonts w:eastAsia="Times New Roman"/>
        </w:rPr>
      </w:pPr>
      <w:bookmarkStart w:id="1" w:name="bottom"/>
      <w:bookmarkEnd w:id="1"/>
      <w:r>
        <w:rPr>
          <w:rFonts w:eastAsia="Times New Roman"/>
          <w:sz w:val="20"/>
          <w:szCs w:val="20"/>
        </w:rPr>
        <w:t>(1) 177 Misc2d 454 (Fam.Ct,1998).</w:t>
      </w:r>
    </w:p>
    <w:p w:rsidR="00000000" w:rsidRDefault="00EB7728">
      <w:pPr>
        <w:ind w:left="720"/>
        <w:divId w:val="1963027289"/>
        <w:rPr>
          <w:rFonts w:eastAsia="Times New Roman"/>
        </w:rPr>
      </w:pPr>
      <w:r>
        <w:rPr>
          <w:rFonts w:eastAsia="Times New Roman"/>
          <w:sz w:val="20"/>
          <w:szCs w:val="20"/>
        </w:rPr>
        <w:t>(2) CPLR §321 (b) (1).</w:t>
      </w:r>
    </w:p>
    <w:p w:rsidR="00000000" w:rsidRDefault="00EB7728">
      <w:pPr>
        <w:ind w:left="720"/>
        <w:divId w:val="1963027289"/>
        <w:rPr>
          <w:rFonts w:eastAsia="Times New Roman"/>
        </w:rPr>
      </w:pPr>
      <w:r>
        <w:rPr>
          <w:rFonts w:eastAsia="Times New Roman"/>
          <w:sz w:val="20"/>
          <w:szCs w:val="20"/>
        </w:rPr>
        <w:t xml:space="preserve">(3) </w:t>
      </w:r>
      <w:r>
        <w:rPr>
          <w:rFonts w:eastAsia="Times New Roman"/>
          <w:i/>
          <w:iCs/>
          <w:sz w:val="20"/>
          <w:szCs w:val="20"/>
        </w:rPr>
        <w:t xml:space="preserve">McNally v. Youngs </w:t>
      </w:r>
      <w:r>
        <w:rPr>
          <w:rFonts w:eastAsia="Times New Roman"/>
          <w:sz w:val="20"/>
          <w:szCs w:val="20"/>
        </w:rPr>
        <w:t>(1932) 237 AD 787, 262 NYS 828.</w:t>
      </w:r>
    </w:p>
    <w:p w:rsidR="00000000" w:rsidRDefault="00EB7728">
      <w:pPr>
        <w:ind w:left="720"/>
        <w:divId w:val="1963027289"/>
        <w:rPr>
          <w:rFonts w:eastAsia="Times New Roman"/>
        </w:rPr>
      </w:pPr>
      <w:r>
        <w:rPr>
          <w:rFonts w:eastAsia="Times New Roman"/>
          <w:sz w:val="20"/>
          <w:szCs w:val="20"/>
        </w:rPr>
        <w:t>(4) CPLR §21(b)(1).</w:t>
      </w:r>
    </w:p>
    <w:p w:rsidR="00000000" w:rsidRDefault="00EB7728">
      <w:pPr>
        <w:ind w:left="720"/>
        <w:divId w:val="1963027289"/>
        <w:rPr>
          <w:rFonts w:eastAsia="Times New Roman"/>
        </w:rPr>
      </w:pPr>
      <w:r>
        <w:rPr>
          <w:rFonts w:eastAsia="Times New Roman"/>
          <w:sz w:val="20"/>
          <w:szCs w:val="20"/>
        </w:rPr>
        <w:t>(5) CPLR §21(b)(2).</w:t>
      </w:r>
    </w:p>
    <w:p w:rsidR="00000000" w:rsidRDefault="00EB7728">
      <w:pPr>
        <w:ind w:left="720"/>
        <w:divId w:val="1963027289"/>
        <w:rPr>
          <w:rFonts w:eastAsia="Times New Roman"/>
        </w:rPr>
      </w:pPr>
      <w:r>
        <w:rPr>
          <w:rFonts w:eastAsia="Times New Roman"/>
          <w:sz w:val="20"/>
          <w:szCs w:val="20"/>
        </w:rPr>
        <w:t xml:space="preserve">(6) </w:t>
      </w:r>
      <w:r>
        <w:rPr>
          <w:rFonts w:eastAsia="Times New Roman"/>
          <w:i/>
          <w:iCs/>
          <w:sz w:val="20"/>
          <w:szCs w:val="20"/>
        </w:rPr>
        <w:t xml:space="preserve">In re Estate of Theirich </w:t>
      </w:r>
      <w:r>
        <w:rPr>
          <w:rFonts w:eastAsia="Times New Roman"/>
          <w:sz w:val="20"/>
          <w:szCs w:val="20"/>
        </w:rPr>
        <w:t>(1958) 13 Misc2d 155.</w:t>
      </w:r>
    </w:p>
    <w:p w:rsidR="00000000" w:rsidRDefault="00EB7728">
      <w:pPr>
        <w:ind w:left="720"/>
        <w:divId w:val="1963027289"/>
        <w:rPr>
          <w:rFonts w:eastAsia="Times New Roman"/>
        </w:rPr>
      </w:pPr>
      <w:r>
        <w:rPr>
          <w:rFonts w:eastAsia="Times New Roman"/>
          <w:sz w:val="20"/>
          <w:szCs w:val="20"/>
        </w:rPr>
        <w:t xml:space="preserve">(7) </w:t>
      </w:r>
      <w:r>
        <w:rPr>
          <w:rFonts w:eastAsia="Times New Roman"/>
          <w:i/>
          <w:iCs/>
          <w:sz w:val="20"/>
          <w:szCs w:val="20"/>
        </w:rPr>
        <w:t xml:space="preserve">Candeloro v. Candeloro </w:t>
      </w:r>
      <w:r>
        <w:rPr>
          <w:rFonts w:eastAsia="Times New Roman"/>
          <w:sz w:val="20"/>
          <w:szCs w:val="20"/>
        </w:rPr>
        <w:t>(1987, 2d Dept) 133 AD2d 731.</w:t>
      </w:r>
    </w:p>
    <w:p w:rsidR="00000000" w:rsidRDefault="00EB7728">
      <w:pPr>
        <w:ind w:left="720"/>
        <w:divId w:val="1963027289"/>
        <w:rPr>
          <w:rFonts w:eastAsia="Times New Roman"/>
        </w:rPr>
      </w:pPr>
      <w:r>
        <w:rPr>
          <w:rFonts w:eastAsia="Times New Roman"/>
          <w:sz w:val="20"/>
          <w:szCs w:val="20"/>
        </w:rPr>
        <w:t xml:space="preserve">(8) </w:t>
      </w:r>
      <w:r>
        <w:rPr>
          <w:rFonts w:eastAsia="Times New Roman"/>
          <w:i/>
          <w:iCs/>
          <w:sz w:val="20"/>
          <w:szCs w:val="20"/>
        </w:rPr>
        <w:t xml:space="preserve">In re Mandelkorn's Estate </w:t>
      </w:r>
      <w:r>
        <w:rPr>
          <w:rFonts w:eastAsia="Times New Roman"/>
          <w:sz w:val="20"/>
          <w:szCs w:val="20"/>
        </w:rPr>
        <w:t>(1917) 99 Misc 168, 165 NYS 404.</w:t>
      </w:r>
    </w:p>
    <w:p w:rsidR="00000000" w:rsidRDefault="00EB7728">
      <w:pPr>
        <w:ind w:left="720"/>
        <w:divId w:val="1963027289"/>
        <w:rPr>
          <w:rFonts w:eastAsia="Times New Roman"/>
        </w:rPr>
      </w:pPr>
      <w:r>
        <w:rPr>
          <w:rFonts w:eastAsia="Times New Roman"/>
          <w:sz w:val="20"/>
          <w:szCs w:val="20"/>
        </w:rPr>
        <w:t xml:space="preserve">(9) </w:t>
      </w:r>
      <w:r>
        <w:rPr>
          <w:rFonts w:eastAsia="Times New Roman"/>
          <w:i/>
          <w:iCs/>
          <w:sz w:val="20"/>
          <w:szCs w:val="20"/>
        </w:rPr>
        <w:t xml:space="preserve">Cruikshank v. Goodwin, </w:t>
      </w:r>
      <w:r>
        <w:rPr>
          <w:rFonts w:eastAsia="Times New Roman"/>
          <w:sz w:val="20"/>
          <w:szCs w:val="20"/>
        </w:rPr>
        <w:t>49 NY St. Rep 603, 20 NYS 757.</w:t>
      </w:r>
    </w:p>
    <w:p w:rsidR="00000000" w:rsidRDefault="00EB7728">
      <w:pPr>
        <w:ind w:left="720"/>
        <w:divId w:val="1963027289"/>
        <w:rPr>
          <w:rFonts w:eastAsia="Times New Roman"/>
        </w:rPr>
      </w:pPr>
      <w:r>
        <w:rPr>
          <w:rFonts w:eastAsia="Times New Roman"/>
          <w:sz w:val="20"/>
          <w:szCs w:val="20"/>
        </w:rPr>
        <w:t xml:space="preserve">(10) </w:t>
      </w:r>
      <w:r>
        <w:rPr>
          <w:rFonts w:eastAsia="Times New Roman"/>
          <w:i/>
          <w:iCs/>
          <w:sz w:val="20"/>
          <w:szCs w:val="20"/>
        </w:rPr>
        <w:t xml:space="preserve">Hendry v. Hilton </w:t>
      </w:r>
      <w:r>
        <w:rPr>
          <w:rFonts w:eastAsia="Times New Roman"/>
          <w:sz w:val="20"/>
          <w:szCs w:val="20"/>
        </w:rPr>
        <w:t>(1953) 28</w:t>
      </w:r>
      <w:r>
        <w:rPr>
          <w:rFonts w:eastAsia="Times New Roman"/>
          <w:sz w:val="20"/>
          <w:szCs w:val="20"/>
        </w:rPr>
        <w:t>3 AD 168.</w:t>
      </w:r>
    </w:p>
    <w:p w:rsidR="00000000" w:rsidRDefault="00EB7728">
      <w:pPr>
        <w:ind w:left="720"/>
        <w:divId w:val="1963027289"/>
        <w:rPr>
          <w:rFonts w:eastAsia="Times New Roman"/>
        </w:rPr>
      </w:pPr>
      <w:r>
        <w:rPr>
          <w:rFonts w:eastAsia="Times New Roman"/>
          <w:sz w:val="20"/>
          <w:szCs w:val="20"/>
        </w:rPr>
        <w:t xml:space="preserve">(11) </w:t>
      </w:r>
      <w:r>
        <w:rPr>
          <w:rFonts w:eastAsia="Times New Roman"/>
          <w:i/>
          <w:iCs/>
          <w:sz w:val="20"/>
          <w:szCs w:val="20"/>
        </w:rPr>
        <w:t xml:space="preserve">Gradl v. Saulpaugh, </w:t>
      </w:r>
      <w:r>
        <w:rPr>
          <w:rFonts w:eastAsia="Times New Roman"/>
          <w:sz w:val="20"/>
          <w:szCs w:val="20"/>
        </w:rPr>
        <w:t>268 App. Div. 787.</w:t>
      </w:r>
    </w:p>
    <w:p w:rsidR="00000000" w:rsidRDefault="00EB7728">
      <w:pPr>
        <w:ind w:left="720"/>
        <w:divId w:val="1963027289"/>
        <w:rPr>
          <w:rFonts w:eastAsia="Times New Roman"/>
        </w:rPr>
      </w:pPr>
      <w:r>
        <w:rPr>
          <w:rFonts w:eastAsia="Times New Roman"/>
          <w:sz w:val="20"/>
          <w:szCs w:val="20"/>
        </w:rPr>
        <w:t xml:space="preserve">(12) </w:t>
      </w:r>
      <w:r>
        <w:rPr>
          <w:rFonts w:eastAsia="Times New Roman"/>
          <w:i/>
          <w:iCs/>
          <w:sz w:val="20"/>
          <w:szCs w:val="20"/>
        </w:rPr>
        <w:t xml:space="preserve">Davis v. Solomon </w:t>
      </w:r>
      <w:r>
        <w:rPr>
          <w:rFonts w:eastAsia="Times New Roman"/>
          <w:sz w:val="20"/>
          <w:szCs w:val="20"/>
        </w:rPr>
        <w:t>(1899) 25 Misc 695, 56 NYS 80, However, see FCA §1120(b), which provides that a law guardian's representation continues when an appeal is taken.</w:t>
      </w:r>
    </w:p>
    <w:p w:rsidR="00000000" w:rsidRDefault="00EB7728">
      <w:pPr>
        <w:ind w:left="720"/>
        <w:divId w:val="1963027289"/>
        <w:rPr>
          <w:rFonts w:eastAsia="Times New Roman"/>
        </w:rPr>
      </w:pPr>
      <w:r>
        <w:rPr>
          <w:rFonts w:eastAsia="Times New Roman"/>
          <w:sz w:val="20"/>
          <w:szCs w:val="20"/>
        </w:rPr>
        <w:lastRenderedPageBreak/>
        <w:t xml:space="preserve">(13) </w:t>
      </w:r>
      <w:r>
        <w:rPr>
          <w:rFonts w:eastAsia="Times New Roman"/>
          <w:i/>
          <w:iCs/>
          <w:sz w:val="20"/>
          <w:szCs w:val="20"/>
        </w:rPr>
        <w:t xml:space="preserve">Hendry v. Hilton, </w:t>
      </w:r>
      <w:r>
        <w:rPr>
          <w:rFonts w:eastAsia="Times New Roman"/>
          <w:sz w:val="20"/>
          <w:szCs w:val="20"/>
        </w:rPr>
        <w:t xml:space="preserve">supra; </w:t>
      </w:r>
      <w:r>
        <w:rPr>
          <w:rFonts w:eastAsia="Times New Roman"/>
          <w:i/>
          <w:iCs/>
          <w:sz w:val="20"/>
          <w:szCs w:val="20"/>
        </w:rPr>
        <w:t>Gradl</w:t>
      </w:r>
      <w:r>
        <w:rPr>
          <w:rFonts w:eastAsia="Times New Roman"/>
          <w:i/>
          <w:iCs/>
          <w:sz w:val="20"/>
          <w:szCs w:val="20"/>
        </w:rPr>
        <w:t xml:space="preserve"> v. Saulpaugh, </w:t>
      </w:r>
      <w:r>
        <w:rPr>
          <w:rFonts w:eastAsia="Times New Roman"/>
          <w:sz w:val="20"/>
          <w:szCs w:val="20"/>
        </w:rPr>
        <w:t>supra.</w:t>
      </w:r>
    </w:p>
    <w:p w:rsidR="00000000" w:rsidRDefault="00EB7728">
      <w:pPr>
        <w:ind w:left="720"/>
        <w:divId w:val="1963027289"/>
        <w:rPr>
          <w:rFonts w:eastAsia="Times New Roman"/>
        </w:rPr>
      </w:pPr>
      <w:r>
        <w:rPr>
          <w:rFonts w:eastAsia="Times New Roman"/>
          <w:sz w:val="20"/>
          <w:szCs w:val="20"/>
        </w:rPr>
        <w:t xml:space="preserve">(14) </w:t>
      </w:r>
      <w:r>
        <w:rPr>
          <w:rFonts w:eastAsia="Times New Roman"/>
          <w:i/>
          <w:iCs/>
          <w:sz w:val="20"/>
          <w:szCs w:val="20"/>
        </w:rPr>
        <w:t xml:space="preserve">Palmer v. Palmer </w:t>
      </w:r>
      <w:r>
        <w:rPr>
          <w:rFonts w:eastAsia="Times New Roman"/>
          <w:sz w:val="20"/>
          <w:szCs w:val="20"/>
        </w:rPr>
        <w:t>(1969) 62 Misc2d 73.</w:t>
      </w:r>
    </w:p>
    <w:p w:rsidR="00000000" w:rsidRDefault="00EB7728">
      <w:pPr>
        <w:ind w:left="720"/>
        <w:divId w:val="1963027289"/>
        <w:rPr>
          <w:rFonts w:eastAsia="Times New Roman"/>
        </w:rPr>
      </w:pPr>
      <w:r>
        <w:rPr>
          <w:rFonts w:eastAsia="Times New Roman"/>
          <w:sz w:val="20"/>
          <w:szCs w:val="20"/>
        </w:rPr>
        <w:t xml:space="preserve">(15) </w:t>
      </w:r>
      <w:r>
        <w:rPr>
          <w:rFonts w:eastAsia="Times New Roman"/>
          <w:i/>
          <w:iCs/>
          <w:sz w:val="20"/>
          <w:szCs w:val="20"/>
        </w:rPr>
        <w:t xml:space="preserve">Felt v. Nichols </w:t>
      </w:r>
      <w:r>
        <w:rPr>
          <w:rFonts w:eastAsia="Times New Roman"/>
          <w:sz w:val="20"/>
          <w:szCs w:val="20"/>
        </w:rPr>
        <w:t>(1897) 21 Misc 404, 47 NYS 951.</w:t>
      </w:r>
    </w:p>
    <w:p w:rsidR="00000000" w:rsidRDefault="00EB7728">
      <w:pPr>
        <w:ind w:left="720"/>
        <w:divId w:val="1963027289"/>
        <w:rPr>
          <w:rFonts w:eastAsia="Times New Roman"/>
        </w:rPr>
      </w:pPr>
      <w:r>
        <w:rPr>
          <w:rFonts w:eastAsia="Times New Roman"/>
          <w:sz w:val="20"/>
          <w:szCs w:val="20"/>
        </w:rPr>
        <w:t xml:space="preserve">(16) </w:t>
      </w:r>
      <w:r>
        <w:rPr>
          <w:rFonts w:eastAsia="Times New Roman"/>
          <w:i/>
          <w:iCs/>
          <w:sz w:val="20"/>
          <w:szCs w:val="20"/>
        </w:rPr>
        <w:t xml:space="preserve">In re White </w:t>
      </w:r>
      <w:r>
        <w:rPr>
          <w:rFonts w:eastAsia="Times New Roman"/>
          <w:sz w:val="20"/>
          <w:szCs w:val="20"/>
        </w:rPr>
        <w:t>(1900) 52 AD 225, 65 NYS 168.</w:t>
      </w:r>
    </w:p>
    <w:p w:rsidR="00000000" w:rsidRDefault="00EB7728">
      <w:pPr>
        <w:ind w:left="720"/>
        <w:divId w:val="1963027289"/>
        <w:rPr>
          <w:rFonts w:eastAsia="Times New Roman"/>
        </w:rPr>
      </w:pPr>
      <w:r>
        <w:rPr>
          <w:rFonts w:eastAsia="Times New Roman"/>
          <w:sz w:val="20"/>
          <w:szCs w:val="20"/>
        </w:rPr>
        <w:t xml:space="preserve">(17) </w:t>
      </w:r>
      <w:r>
        <w:rPr>
          <w:rFonts w:eastAsia="Times New Roman"/>
          <w:i/>
          <w:iCs/>
          <w:sz w:val="20"/>
          <w:szCs w:val="20"/>
        </w:rPr>
        <w:t xml:space="preserve">Hess v. Tyszko </w:t>
      </w:r>
      <w:r>
        <w:rPr>
          <w:rFonts w:eastAsia="Times New Roman"/>
          <w:sz w:val="20"/>
          <w:szCs w:val="20"/>
        </w:rPr>
        <w:t>(1974, 3d Dept.) 46 AD2d 980.</w:t>
      </w:r>
    </w:p>
    <w:p w:rsidR="00000000" w:rsidRDefault="00EB7728">
      <w:pPr>
        <w:ind w:left="720"/>
        <w:divId w:val="1963027289"/>
        <w:rPr>
          <w:rFonts w:eastAsia="Times New Roman"/>
        </w:rPr>
      </w:pPr>
      <w:r>
        <w:rPr>
          <w:rFonts w:eastAsia="Times New Roman"/>
          <w:sz w:val="20"/>
          <w:szCs w:val="20"/>
        </w:rPr>
        <w:t xml:space="preserve">(18) </w:t>
      </w:r>
      <w:r>
        <w:rPr>
          <w:rFonts w:eastAsia="Times New Roman"/>
          <w:i/>
          <w:iCs/>
          <w:sz w:val="20"/>
          <w:szCs w:val="20"/>
        </w:rPr>
        <w:t xml:space="preserve">Dobbins v. County of Erie, </w:t>
      </w:r>
      <w:r>
        <w:rPr>
          <w:rFonts w:eastAsia="Times New Roman"/>
          <w:sz w:val="20"/>
          <w:szCs w:val="20"/>
        </w:rPr>
        <w:t>58 AD2d 7</w:t>
      </w:r>
      <w:r>
        <w:rPr>
          <w:rFonts w:eastAsia="Times New Roman"/>
          <w:sz w:val="20"/>
          <w:szCs w:val="20"/>
        </w:rPr>
        <w:t>33 (4th Dept., 1977).</w:t>
      </w:r>
    </w:p>
    <w:p w:rsidR="00000000" w:rsidRDefault="00EB7728">
      <w:pPr>
        <w:ind w:left="720"/>
        <w:divId w:val="1963027289"/>
        <w:rPr>
          <w:rFonts w:eastAsia="Times New Roman"/>
        </w:rPr>
      </w:pPr>
      <w:r>
        <w:rPr>
          <w:rFonts w:eastAsia="Times New Roman"/>
          <w:sz w:val="20"/>
          <w:szCs w:val="20"/>
        </w:rPr>
        <w:t xml:space="preserve">(19) </w:t>
      </w:r>
      <w:r>
        <w:rPr>
          <w:rFonts w:eastAsia="Times New Roman"/>
          <w:i/>
          <w:iCs/>
          <w:sz w:val="20"/>
          <w:szCs w:val="20"/>
        </w:rPr>
        <w:t>Kitsch v. Riker Oil Co.</w:t>
      </w:r>
      <w:r>
        <w:rPr>
          <w:rFonts w:eastAsia="Times New Roman"/>
          <w:sz w:val="20"/>
          <w:szCs w:val="20"/>
        </w:rPr>
        <w:t>, 23 AD2d 502.</w:t>
      </w:r>
    </w:p>
    <w:p w:rsidR="00000000" w:rsidRDefault="00EB7728">
      <w:pPr>
        <w:ind w:left="720"/>
        <w:divId w:val="1963027289"/>
        <w:rPr>
          <w:rFonts w:eastAsia="Times New Roman"/>
        </w:rPr>
      </w:pPr>
      <w:r>
        <w:rPr>
          <w:rFonts w:eastAsia="Times New Roman"/>
          <w:sz w:val="20"/>
          <w:szCs w:val="20"/>
        </w:rPr>
        <w:t>(20) 112 AD2d 981 (2d Dept., 1985).</w:t>
      </w:r>
    </w:p>
    <w:p w:rsidR="00000000" w:rsidRDefault="00EB7728">
      <w:pPr>
        <w:ind w:left="720"/>
        <w:divId w:val="1963027289"/>
        <w:rPr>
          <w:rFonts w:eastAsia="Times New Roman"/>
        </w:rPr>
      </w:pPr>
      <w:r>
        <w:rPr>
          <w:rFonts w:eastAsia="Times New Roman"/>
          <w:sz w:val="20"/>
          <w:szCs w:val="20"/>
        </w:rPr>
        <w:t>(21) 119 AD2d 913 (3d Dept. 1986).</w:t>
      </w:r>
    </w:p>
    <w:p w:rsidR="00000000" w:rsidRDefault="00EB7728">
      <w:pPr>
        <w:ind w:left="720"/>
        <w:divId w:val="1963027289"/>
        <w:rPr>
          <w:rFonts w:eastAsia="Times New Roman"/>
        </w:rPr>
      </w:pPr>
      <w:r>
        <w:rPr>
          <w:rFonts w:eastAsia="Times New Roman"/>
          <w:sz w:val="20"/>
          <w:szCs w:val="20"/>
        </w:rPr>
        <w:t>(22) Id.</w:t>
      </w:r>
    </w:p>
    <w:p w:rsidR="00000000" w:rsidRDefault="00EB7728">
      <w:pPr>
        <w:ind w:left="720"/>
        <w:divId w:val="1963027289"/>
        <w:rPr>
          <w:rFonts w:eastAsia="Times New Roman"/>
        </w:rPr>
      </w:pPr>
      <w:r>
        <w:rPr>
          <w:rFonts w:eastAsia="Times New Roman"/>
          <w:sz w:val="20"/>
          <w:szCs w:val="20"/>
        </w:rPr>
        <w:t xml:space="preserve">(23) </w:t>
      </w:r>
      <w:r>
        <w:rPr>
          <w:rFonts w:eastAsia="Times New Roman"/>
          <w:i/>
          <w:iCs/>
          <w:sz w:val="20"/>
          <w:szCs w:val="20"/>
        </w:rPr>
        <w:t>Pemberton v. Dolphin Dev. Corp.</w:t>
      </w:r>
      <w:r>
        <w:rPr>
          <w:rFonts w:eastAsia="Times New Roman"/>
          <w:sz w:val="20"/>
          <w:szCs w:val="20"/>
        </w:rPr>
        <w:t xml:space="preserve"> (1987, 3d Dept. 134 AD2d 23.</w:t>
      </w:r>
    </w:p>
    <w:p w:rsidR="00000000" w:rsidRDefault="00EB7728">
      <w:pPr>
        <w:ind w:left="720"/>
        <w:divId w:val="1963027289"/>
        <w:rPr>
          <w:rFonts w:eastAsia="Times New Roman"/>
        </w:rPr>
      </w:pPr>
      <w:r>
        <w:rPr>
          <w:rFonts w:eastAsia="Times New Roman"/>
          <w:sz w:val="20"/>
          <w:szCs w:val="20"/>
        </w:rPr>
        <w:t>(24) 214 AD2d 954 (4th Dept. 1995).</w:t>
      </w:r>
    </w:p>
    <w:p w:rsidR="00000000" w:rsidRDefault="00EB7728">
      <w:pPr>
        <w:ind w:left="720"/>
        <w:divId w:val="1963027289"/>
        <w:rPr>
          <w:rFonts w:eastAsia="Times New Roman"/>
        </w:rPr>
      </w:pPr>
      <w:r>
        <w:rPr>
          <w:rFonts w:eastAsia="Times New Roman"/>
        </w:rPr>
        <w:t>*********</w:t>
      </w:r>
    </w:p>
    <w:p w:rsidR="00000000" w:rsidRDefault="00EB7728">
      <w:pPr>
        <w:divId w:val="1963027289"/>
        <w:rPr>
          <w:rFonts w:eastAsia="Times New Roman"/>
        </w:rPr>
      </w:pPr>
      <w:r>
        <w:rPr>
          <w:rFonts w:eastAsia="Times New Roman"/>
        </w:rPr>
        <w:pict>
          <v:rect id="_x0000_i1026" style="width:0;height:1.5pt" o:hralign="center" o:hrstd="t" o:hr="t" fillcolor="#a0a0a0" stroked="f"/>
        </w:pict>
      </w:r>
    </w:p>
    <w:p w:rsidR="00000000" w:rsidRDefault="00EB7728">
      <w:pPr>
        <w:pStyle w:val="NormalWeb"/>
        <w:divId w:val="1963027289"/>
      </w:pPr>
      <w:r>
        <w:rPr>
          <w:b/>
          <w:bCs/>
        </w:rPr>
        <w:t>Joel R. Brandes</w:t>
      </w:r>
      <w:r>
        <w:rPr>
          <w:b/>
          <w:bCs/>
        </w:rPr>
        <w:t xml:space="preserve"> </w:t>
      </w:r>
      <w:r>
        <w:rPr>
          <w:i/>
          <w:iCs/>
        </w:rPr>
        <w:t xml:space="preserve">has law offices in Garden City and New York City. He co-authored the nine-volume </w:t>
      </w:r>
      <w:r>
        <w:t xml:space="preserve">Law and the Family New York </w:t>
      </w:r>
      <w:r>
        <w:rPr>
          <w:i/>
          <w:iCs/>
        </w:rPr>
        <w:t xml:space="preserve">and </w:t>
      </w:r>
      <w:r>
        <w:t xml:space="preserve">Law and the Family New York Forms </w:t>
      </w:r>
      <w:r>
        <w:rPr>
          <w:i/>
          <w:iCs/>
        </w:rPr>
        <w:t>(both, published by Westgroup).</w:t>
      </w:r>
      <w:r>
        <w:t xml:space="preserve"> </w:t>
      </w:r>
      <w:r>
        <w:rPr>
          <w:b/>
          <w:bCs/>
        </w:rPr>
        <w:t>Bari B. Brandes,</w:t>
      </w:r>
      <w:r>
        <w:rPr>
          <w:b/>
          <w:bCs/>
        </w:rPr>
        <w:t xml:space="preserve"> </w:t>
      </w:r>
      <w:r>
        <w:rPr>
          <w:i/>
          <w:iCs/>
        </w:rPr>
        <w:t xml:space="preserve">Emory </w:t>
      </w:r>
      <w:r>
        <w:rPr>
          <w:i/>
          <w:iCs/>
        </w:rPr>
        <w:t>University School of Law, Class of 1998, assisted in the preparation of this article</w:t>
      </w:r>
      <w:r>
        <w:rPr>
          <w:i/>
          <w:iCs/>
        </w:rPr>
        <w:t>.</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EB7728"/>
    <w:rsid w:val="00EB7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525F081-422B-4E39-8EF8-F272B3A25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812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30272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ylj.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2009</Words>
  <Characters>10673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Brandes</dc:creator>
  <cp:keywords/>
  <dc:description/>
  <cp:lastModifiedBy>Joel Brandes</cp:lastModifiedBy>
  <cp:revision>2</cp:revision>
  <dcterms:created xsi:type="dcterms:W3CDTF">2016-07-15T02:28:00Z</dcterms:created>
  <dcterms:modified xsi:type="dcterms:W3CDTF">2016-07-15T02:28:00Z</dcterms:modified>
</cp:coreProperties>
</file>