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108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E81085">
      <w:pPr>
        <w:ind w:left="720"/>
        <w:divId w:val="138775564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E81085">
      <w:pPr>
        <w:divId w:val="1387755649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E81085">
      <w:pPr>
        <w:pStyle w:val="NormalWeb"/>
        <w:divId w:val="1387755649"/>
      </w:pPr>
      <w:r>
        <w:t> </w:t>
      </w:r>
      <w:r>
        <w:t xml:space="preserve"> </w:t>
      </w:r>
    </w:p>
    <w:p w:rsidR="00000000" w:rsidRDefault="00E81085">
      <w:pPr>
        <w:pStyle w:val="NormalWeb"/>
        <w:divId w:val="1387755649"/>
      </w:pPr>
      <w:r>
        <w:t>LAW AND THE FAMILY</w:t>
      </w:r>
    </w:p>
    <w:p w:rsidR="00000000" w:rsidRDefault="00E81085">
      <w:pPr>
        <w:pStyle w:val="Heading2"/>
        <w:divId w:val="1387755649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7"/>
          <w:szCs w:val="27"/>
        </w:rPr>
        <w:t>"</w:t>
      </w:r>
      <w:bookmarkStart w:id="0" w:name="_GoBack"/>
      <w:r>
        <w:rPr>
          <w:rFonts w:ascii="Arial" w:eastAsia="Times New Roman" w:hAnsi="Arial" w:cs="Arial"/>
          <w:color w:val="0000FF"/>
          <w:sz w:val="27"/>
          <w:szCs w:val="27"/>
        </w:rPr>
        <w:t>Re-Examining The Role of the Law Guardian</w:t>
      </w:r>
      <w:bookmarkEnd w:id="0"/>
      <w:r>
        <w:rPr>
          <w:rFonts w:ascii="Arial" w:eastAsia="Times New Roman" w:hAnsi="Arial" w:cs="Arial"/>
          <w:color w:val="0000FF"/>
          <w:sz w:val="27"/>
          <w:szCs w:val="27"/>
        </w:rPr>
        <w:t>"</w:t>
      </w:r>
    </w:p>
    <w:p w:rsidR="00000000" w:rsidRDefault="00E81085">
      <w:pPr>
        <w:pStyle w:val="NormalWeb"/>
        <w:divId w:val="1387755649"/>
      </w:pPr>
      <w:r>
        <w:t>Joel R. Brandes</w:t>
      </w:r>
    </w:p>
    <w:p w:rsidR="00000000" w:rsidRDefault="00E81085">
      <w:pPr>
        <w:pStyle w:val="NormalWeb"/>
        <w:divId w:val="1387755649"/>
      </w:pPr>
      <w:hyperlink r:id="rId4" w:history="1">
        <w:r>
          <w:rPr>
            <w:rStyle w:val="Hyperlink"/>
          </w:rPr>
          <w:t>New York Law Journal</w:t>
        </w:r>
      </w:hyperlink>
    </w:p>
    <w:p w:rsidR="00000000" w:rsidRDefault="00E81085">
      <w:pPr>
        <w:pStyle w:val="HTMLPreformatted"/>
        <w:divId w:val="1387755649"/>
        <w:rPr>
          <w:rStyle w:val="Hyperlink"/>
        </w:rPr>
      </w:pPr>
      <w:r>
        <w:t>October 24, 2000</w:t>
      </w:r>
      <w:r>
        <w:fldChar w:fldCharType="begin"/>
      </w:r>
      <w:r>
        <w:instrText xml:space="preserve"> </w:instrText>
      </w:r>
      <w:r>
        <w:instrText>HYPERLINK "http://www.nylj.com/"</w:instrText>
      </w:r>
      <w:r>
        <w:instrText xml:space="preserve"> </w:instrText>
      </w:r>
      <w:r>
        <w:fldChar w:fldCharType="separate"/>
      </w:r>
    </w:p>
    <w:p w:rsidR="00000000" w:rsidRDefault="00E81085">
      <w:pPr>
        <w:pStyle w:val="HTMLPreformatted"/>
        <w:divId w:val="1387755649"/>
      </w:pPr>
      <w:r>
        <w:fldChar w:fldCharType="end"/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IN OUR JUNE column, we po</w:t>
      </w:r>
      <w:r>
        <w:rPr>
          <w:rFonts w:ascii="CG Times" w:hAnsi="CG Times"/>
          <w:sz w:val="20"/>
          <w:szCs w:val="20"/>
        </w:rPr>
        <w:t>inted out that the appointment of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law guardian in custody battles is often appropriate to safeguard the best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interests of children because a competent law guardian may offset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adversarial character of the dispute and focus attention upon the child's b</w:t>
      </w:r>
      <w:r>
        <w:rPr>
          <w:rFonts w:ascii="CG Times" w:hAnsi="CG Times"/>
          <w:sz w:val="20"/>
          <w:szCs w:val="20"/>
        </w:rPr>
        <w:t>est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interests. We noted that appointment of a law guardian has become routine in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contested custody cases, although no one has yet clearly defined the role of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law guardian in such cases.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Having the opportunity to observe judges, attorneys and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</w:t>
      </w:r>
      <w:r>
        <w:rPr>
          <w:rFonts w:ascii="CG Times" w:hAnsi="CG Times"/>
          <w:sz w:val="20"/>
          <w:szCs w:val="20"/>
        </w:rPr>
        <w:t>ans in court on a daily basis, it appears to us that many law guardians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 custody cases are assuming the traditional role of an attorney for a party,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rather than the attorney for the subject of the proceeding. One possible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reason law guardians are taking </w:t>
      </w:r>
      <w:r>
        <w:rPr>
          <w:rFonts w:ascii="CG Times" w:hAnsi="CG Times"/>
          <w:sz w:val="20"/>
          <w:szCs w:val="20"/>
        </w:rPr>
        <w:t>on this expanded role is that many judges have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been routinely directing the parties to pay the legal fees of the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guardian, set at an arbitrary, hourly rate, without affording them a hearing,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at which the necessity for the services, reasonableness of th</w:t>
      </w:r>
      <w:r>
        <w:rPr>
          <w:rFonts w:ascii="CG Times" w:hAnsi="CG Times"/>
          <w:sz w:val="20"/>
          <w:szCs w:val="20"/>
        </w:rPr>
        <w:t>e fees and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parties financial circumstances are considered.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Many judges are sua sponte directing the parties to pay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retainer to the law guardian. These directives ignore the limitation imposed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upon law guardian compensation, by Judiciary Law 35 (3), t</w:t>
      </w:r>
      <w:r>
        <w:rPr>
          <w:rFonts w:ascii="CG Times" w:hAnsi="CG Times"/>
          <w:sz w:val="20"/>
          <w:szCs w:val="20"/>
        </w:rPr>
        <w:t>o the amount paid by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state. Another reason for this expanded role is because the Legislature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has failed to define it.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For many years, the appointment of a law guardian has been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mandatory in certain Family Court proceedings, such as juvenile delinquency</w:t>
      </w:r>
      <w:r>
        <w:rPr>
          <w:rFonts w:ascii="CG Times" w:hAnsi="CG Times"/>
          <w:sz w:val="20"/>
          <w:szCs w:val="20"/>
        </w:rPr>
        <w:t>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pins and child protective proceedings. [FN1]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Law Guardian Appointment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Family Court Act 249(a) vests the court with discretion in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custody and visitation proceedings to appoint a law guardian. It authorizes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court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"in any proceeding in which the cou</w:t>
      </w:r>
      <w:r>
        <w:rPr>
          <w:rFonts w:ascii="CG Times" w:hAnsi="CG Times"/>
          <w:sz w:val="20"/>
          <w:szCs w:val="20"/>
        </w:rPr>
        <w:t>rt has jurisdiction,"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 appoint a law guardian to represent the child, when, in the opinion of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family court judge, such representation will serve the purposes of the act, if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independent legal counsel is not available to the child. [FN2 ]It has been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he</w:t>
      </w:r>
      <w:r>
        <w:rPr>
          <w:rFonts w:ascii="CG Times" w:hAnsi="CG Times"/>
          <w:sz w:val="20"/>
          <w:szCs w:val="20"/>
        </w:rPr>
        <w:t>ld that the Supreme Court has inherent power and authority to designate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counsel to represent children in custody cases. [FN3]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lastRenderedPageBreak/>
        <w:t>The general rule is that the law guardian's appointment ends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when the proceeding in which she was appointed is terminated. However</w:t>
      </w:r>
      <w:r>
        <w:rPr>
          <w:rFonts w:ascii="CG Times" w:hAnsi="CG Times"/>
          <w:sz w:val="20"/>
          <w:szCs w:val="20"/>
        </w:rPr>
        <w:t>, there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are statutory exceptions to this rule. FCA 1120(b), enacted in 1988, provides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for the continuation of the law guardian's appointment, after the proceeding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terminates, without further court order or appointment where either the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 or a par</w:t>
      </w:r>
      <w:r>
        <w:rPr>
          <w:rFonts w:ascii="CG Times" w:hAnsi="CG Times"/>
          <w:sz w:val="20"/>
          <w:szCs w:val="20"/>
        </w:rPr>
        <w:t>ty to the original proceeding files a notice of appeal. FCA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1120(c) authorizes an appellate court to appoint a law guardian to represent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child in an appeal in a proceeding originating in the family court where a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 was not representing the chil</w:t>
      </w:r>
      <w:r>
        <w:rPr>
          <w:rFonts w:ascii="CG Times" w:hAnsi="CG Times"/>
          <w:sz w:val="20"/>
          <w:szCs w:val="20"/>
        </w:rPr>
        <w:t>d at the time of the entry of the order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appealed from and when independent legal representation is not available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such child. Notably, FCA 1120(e) provides that law guardians appointed or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continuing to represent a person under 1120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"shall be compensated </w:t>
      </w:r>
      <w:r>
        <w:rPr>
          <w:rFonts w:ascii="CG Times" w:hAnsi="CG Times"/>
          <w:sz w:val="20"/>
          <w:szCs w:val="20"/>
        </w:rPr>
        <w:t>in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same manner"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provided by 35 of the judiciary law. Another exception is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FCA 1016, added in 1990, which requires the court to appoint a law guardian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represent a child who has been allegedly abused or neglected, and provides for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the continuation of </w:t>
      </w:r>
      <w:r>
        <w:rPr>
          <w:rFonts w:ascii="CG Times" w:hAnsi="CG Times"/>
          <w:sz w:val="20"/>
          <w:szCs w:val="20"/>
        </w:rPr>
        <w:t>the appointment under certain circumstances.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No other provision of law provides for the continuation of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law guardians' appointment after the custody proceeding terminates.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Recently, in Davis v. Davis, [FN4] the parties divorce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judgment incorporated a s</w:t>
      </w:r>
      <w:r>
        <w:rPr>
          <w:rFonts w:ascii="CG Times" w:hAnsi="CG Times"/>
          <w:sz w:val="20"/>
          <w:szCs w:val="20"/>
        </w:rPr>
        <w:t>tipulation providing that the parties would share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custody and have equal time with their two children. The plaintiff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subsequently moved to modify the shared custody schedule and the court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appointed attorney Kadish as law guardian for the children in connec</w:t>
      </w:r>
      <w:r>
        <w:rPr>
          <w:rFonts w:ascii="CG Times" w:hAnsi="CG Times"/>
          <w:sz w:val="20"/>
          <w:szCs w:val="20"/>
        </w:rPr>
        <w:t>tion with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that motion. The parties resolved plaintiffs' motion by a stipulation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rescheduling the previously ordered shared custody schedule, which was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incorporated into an order that modified the judgment of divorce.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Three years later Plaintiff contacted K</w:t>
      </w:r>
      <w:r>
        <w:rPr>
          <w:rFonts w:ascii="CG Times" w:hAnsi="CG Times"/>
          <w:sz w:val="20"/>
          <w:szCs w:val="20"/>
        </w:rPr>
        <w:t>adish and informed him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that the children no longer wished to reside with defendant. After speaking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with the children, Kadish informed plaintiff that he would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"require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$1,500 retainer to represent the children."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Plaintiff paid Kadish $1,500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and a retainer</w:t>
      </w:r>
      <w:r>
        <w:rPr>
          <w:rFonts w:ascii="CG Times" w:hAnsi="CG Times"/>
          <w:sz w:val="20"/>
          <w:szCs w:val="20"/>
        </w:rPr>
        <w:t xml:space="preserve"> agreement was signed.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By affidavit reciting his appointment as law guardian in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previous modification application, Kadish obtained an order directing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defendant to show cause why an order should not be made, inter alia, modifying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custody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"from joint leg</w:t>
      </w:r>
      <w:r>
        <w:rPr>
          <w:rFonts w:ascii="CG Times" w:hAnsi="CG Times"/>
          <w:sz w:val="20"/>
          <w:szCs w:val="20"/>
        </w:rPr>
        <w:t>al and physical custody to sole custody for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plaintiff."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Kadish did not disclose in his affidavit that plaintiff had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retained him to represent the children.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Defendant cross-moved for sole custody and to remove Kadish as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law guardian on the ground that h</w:t>
      </w:r>
      <w:r>
        <w:rPr>
          <w:rFonts w:ascii="CG Times" w:hAnsi="CG Times"/>
          <w:sz w:val="20"/>
          <w:szCs w:val="20"/>
        </w:rPr>
        <w:t>e was biased in favor of plaintiff. Plaintiff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subsequently moved on his own behalf for sole custody, asserting that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"[y]our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Deponent freely admits to sending a check to Mr. Kadish in the amount of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$1,500.00 during the Winter of 1997/98 as he was continuing</w:t>
      </w:r>
      <w:r>
        <w:rPr>
          <w:rFonts w:ascii="CG Times" w:hAnsi="CG Times"/>
          <w:sz w:val="20"/>
          <w:szCs w:val="20"/>
        </w:rPr>
        <w:t xml:space="preserve"> to provide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services and a needed outlet for my children, and it was unfair that he should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do so without being compensated."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He further asserted,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"I have had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minimal if any contact with Mr. Kadish other than sending him a fax or two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with respect to certain</w:t>
      </w:r>
      <w:r>
        <w:rPr>
          <w:rFonts w:ascii="CG Times" w:hAnsi="CG Times"/>
          <w:sz w:val="20"/>
          <w:szCs w:val="20"/>
        </w:rPr>
        <w:t xml:space="preserve"> incidents.''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The Supreme Court refused to remove Mr. Kadish as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guardian. Thereafter, plaintiff paid an additional $1,500 to Mr. Kadish in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anticipation of trial. After plaintiff testified at a deposition concerning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facts of his retention and paymen</w:t>
      </w:r>
      <w:r>
        <w:rPr>
          <w:rFonts w:ascii="CG Times" w:hAnsi="CG Times"/>
          <w:sz w:val="20"/>
          <w:szCs w:val="20"/>
        </w:rPr>
        <w:t>t of Mr. Kadish, defendant moved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unsuccessfully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"reargue"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her cross-motion seeking his removal.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court denied that motion and, following a plenary hearing, awarded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plaintiff sole custody. It also directed that plaintiff and defendant each pay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half of</w:t>
      </w:r>
      <w:r>
        <w:rPr>
          <w:rFonts w:ascii="CG Times" w:hAnsi="CG Times"/>
          <w:sz w:val="20"/>
          <w:szCs w:val="20"/>
        </w:rPr>
        <w:t xml:space="preserve"> the unpaid balance of the law guardian's legal fees.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Appellate Division in 'Davis'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lastRenderedPageBreak/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The Appellate Division held that Supreme Court should have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granted renewal of the cross-motion and removed Kadish as law guardian before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conducting the hearing. It held that a law guardian who has been retained and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paid by one of the contesting parents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"is indelibly cast, either actually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or ostensibly, as partial to the parent who hired him or her. Both the best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interests of the children an</w:t>
      </w:r>
      <w:r>
        <w:rPr>
          <w:rFonts w:ascii="CG Times" w:hAnsi="CG Times"/>
          <w:sz w:val="20"/>
          <w:szCs w:val="20"/>
        </w:rPr>
        <w:t>d principles of fundamental fairness dictate that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such practice not be countenanced."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Children may be represented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"by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counsel to whom they are merely referred by a parent * * *. Parents may not,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however, retain counsel for their children or become involved</w:t>
      </w:r>
      <w:r>
        <w:rPr>
          <w:rFonts w:ascii="CG Times" w:hAnsi="CG Times"/>
          <w:sz w:val="20"/>
          <w:szCs w:val="20"/>
        </w:rPr>
        <w:t xml:space="preserve"> in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representation of their children because of the appearance or possibility of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conflict of interest or the likelihood that such interference will prevent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children's representation from being truly inde-pendent."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It found that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plaintiff's retent</w:t>
      </w:r>
      <w:r>
        <w:rPr>
          <w:rFonts w:ascii="CG Times" w:hAnsi="CG Times"/>
          <w:sz w:val="20"/>
          <w:szCs w:val="20"/>
        </w:rPr>
        <w:t>ion and payment of the law guardian created an unacceptable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actual or ostensible bias in favor of plaintiff.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While the law guardian was removed and the order reversed on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conflict of interest grounds, the Fourth Department pointed out in a footnote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that it </w:t>
      </w:r>
      <w:r>
        <w:rPr>
          <w:rFonts w:ascii="CG Times" w:hAnsi="CG Times"/>
          <w:sz w:val="20"/>
          <w:szCs w:val="20"/>
        </w:rPr>
        <w:t>did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"not address the apparent absence of either jurisdiction or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standing in connection with the order to show cause"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obtained by Kadish.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[FN5] Davis draws our attention to the attempt by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"law guardian"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 commence a custody modification proceeding on b</w:t>
      </w:r>
      <w:r>
        <w:rPr>
          <w:rFonts w:ascii="CG Times" w:hAnsi="CG Times"/>
          <w:sz w:val="20"/>
          <w:szCs w:val="20"/>
        </w:rPr>
        <w:t>ehalf of the children, and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"apparent absence of jurisdiction and standing"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on his part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do so. It also calls into question the meaning of the brief memorandum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decision of the First Department in Matter of B., [FN6] which affirmed an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Order of the Fami</w:t>
      </w:r>
      <w:r>
        <w:rPr>
          <w:rFonts w:ascii="CG Times" w:hAnsi="CG Times"/>
          <w:sz w:val="20"/>
          <w:szCs w:val="20"/>
        </w:rPr>
        <w:t>ly Court, in a child custody proceeding, that denied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respondents' motion to dismiss the proceeding on the ground that the child's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law guardian lacked standing to bring it. In the memorandum the court stated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that in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its dual role as advocate for and guard</w:t>
      </w:r>
      <w:r>
        <w:rPr>
          <w:rFonts w:ascii="CG Times" w:hAnsi="CG Times"/>
          <w:sz w:val="20"/>
          <w:szCs w:val="20"/>
        </w:rPr>
        <w:t>ian of the subject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child"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law guardian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"clearly has an interest in the welfare of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child sufficient to give it standing to seek a change of custody."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suspect that the court considered the law guardian a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"next friend"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and did not grant the child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</w:t>
      </w:r>
      <w:r>
        <w:rPr>
          <w:rFonts w:ascii="CG Times" w:hAnsi="CG Times"/>
          <w:sz w:val="20"/>
          <w:szCs w:val="20"/>
        </w:rPr>
        <w:t>standing"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 bring a custody proceeding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through its law guardian.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What 'Davis' Missed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We believe that had the Davis court addressed the question of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either jurisdiction or standing in connection with the order to show cause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obtained by Kadish it would h</w:t>
      </w:r>
      <w:r>
        <w:rPr>
          <w:rFonts w:ascii="CG Times" w:hAnsi="CG Times"/>
          <w:sz w:val="20"/>
          <w:szCs w:val="20"/>
        </w:rPr>
        <w:t>ave concluded that neither existed.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The best interests of the child are the objective of custody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and visitation proceedings, which are governed by statute. The child does not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have standing to bring a custody proceeding, on his own or by his attorney.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DRL 7</w:t>
      </w:r>
      <w:r>
        <w:rPr>
          <w:rFonts w:ascii="CG Times" w:hAnsi="CG Times"/>
          <w:sz w:val="20"/>
          <w:szCs w:val="20"/>
        </w:rPr>
        <w:t>0(a) specifically grants standing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"either parent"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"apply to the supreme court for a writ of habeas corpus"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regarding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adjudication of custody and visitation matters. DRL 240 is silent as to who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may petition the court in a custody dispute, but the focu</w:t>
      </w:r>
      <w:r>
        <w:rPr>
          <w:rFonts w:ascii="CG Times" w:hAnsi="CG Times"/>
          <w:sz w:val="20"/>
          <w:szCs w:val="20"/>
        </w:rPr>
        <w:t>s is on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"parents."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FCA 651(b) is also silent as to precisely who has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standing to petition. The child is not a party to the action or proceeding and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is not entitled to any relief. She is the subject of the action and obtaining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her custody or visitation with</w:t>
      </w:r>
      <w:r>
        <w:rPr>
          <w:rFonts w:ascii="CG Times" w:hAnsi="CG Times"/>
          <w:sz w:val="20"/>
          <w:szCs w:val="20"/>
        </w:rPr>
        <w:t xml:space="preserve"> her is the object of the action. The child is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not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"a necessary party"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who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"ought to be joined if complete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relief is to be accorded between the parties to the action or who might be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inequitably affected by a judgment in the action"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within the meaning of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CP</w:t>
      </w:r>
      <w:r>
        <w:rPr>
          <w:rFonts w:ascii="CG Times" w:hAnsi="CG Times"/>
          <w:sz w:val="20"/>
          <w:szCs w:val="20"/>
        </w:rPr>
        <w:t>LR 1001. Nor is he a person who may assert any right to relief with either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plaintiff or defendant, who may be joined in the discretion of the court,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within the meaning of CPLR 1002.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Although FCA 249(a) gives the Family Court Judge broad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discretion to a</w:t>
      </w:r>
      <w:r>
        <w:rPr>
          <w:rFonts w:ascii="CG Times" w:hAnsi="CG Times"/>
          <w:sz w:val="20"/>
          <w:szCs w:val="20"/>
        </w:rPr>
        <w:t>ppoint a law guardian in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"any proceeding in which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court has jurisdiction,"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 proceeding must be pending. Thus, the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lastRenderedPageBreak/>
        <w:t>guardian may not act after the custody proceeding is ended. According to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Court of Appeals, there is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"no authority to appoint a gu</w:t>
      </w:r>
      <w:r>
        <w:rPr>
          <w:rFonts w:ascii="CG Times" w:hAnsi="CG Times"/>
          <w:sz w:val="20"/>
          <w:szCs w:val="20"/>
        </w:rPr>
        <w:t>ardian ad litem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after the proceeding [is] ended, in the absence of extraordinary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circumstances"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[FN7] and this rule should apply with equal force to a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In Blauvelt v. Blauvelt, [FN8] the Supreme Court directed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continuation of the appointme</w:t>
      </w:r>
      <w:r>
        <w:rPr>
          <w:rFonts w:ascii="CG Times" w:hAnsi="CG Times"/>
          <w:sz w:val="20"/>
          <w:szCs w:val="20"/>
        </w:rPr>
        <w:t>nt of the law guardian in any future proceedings.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Appellate Division reversed and held that since the appointment of a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 in a custody proceeding is discretionary the court exceeded its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authority in appointing the law guardian for any and all</w:t>
      </w:r>
      <w:r>
        <w:rPr>
          <w:rFonts w:ascii="CG Times" w:hAnsi="CG Times"/>
          <w:sz w:val="20"/>
          <w:szCs w:val="20"/>
        </w:rPr>
        <w:t xml:space="preserve"> future proceedings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involving the parties' child. The determination as to whether a law guardian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will be necessary in a future proceeding should be made at the time of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proceeding. Blauvelt teaches us that custody and visitation proceedings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terminate wh</w:t>
      </w:r>
      <w:r>
        <w:rPr>
          <w:rFonts w:ascii="CG Times" w:hAnsi="CG Times"/>
          <w:sz w:val="20"/>
          <w:szCs w:val="20"/>
        </w:rPr>
        <w:t>en an order is made determining the proceeding, and that the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guardian's authority, as well as the authority of the court to appoint a law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guardian ceases upon the entry of the order. [FN9]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We believe that the role of the law guardian is to represent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</w:t>
      </w:r>
      <w:r>
        <w:rPr>
          <w:rFonts w:ascii="CG Times" w:hAnsi="CG Times"/>
          <w:sz w:val="20"/>
          <w:szCs w:val="20"/>
        </w:rPr>
        <w:t>e child, who is the subject of the dispute between the parents, and to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express the child's wishes to the court, not to assume the role of an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adversary. In such a situation the role of the law guardian should be similar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 that of a mediator rather than a l</w:t>
      </w:r>
      <w:r>
        <w:rPr>
          <w:rFonts w:ascii="CG Times" w:hAnsi="CG Times"/>
          <w:sz w:val="20"/>
          <w:szCs w:val="20"/>
        </w:rPr>
        <w:t>itigator.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FN(1) See FCA 249(a)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FN(2) Supreme Court has the same power as that of Family Court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to appoint a law guardian. See, N.Y. Const., art. VI, 7[a]; Kagen v. Kagen, 21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N.Y.2d 532, 536, 289 N.Y.S.2d 195, 236 N.E.2d 475.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FN(3) 22 NYCRR 202.16(f) a</w:t>
      </w:r>
      <w:r>
        <w:rPr>
          <w:rFonts w:ascii="CG Times" w:hAnsi="CG Times"/>
          <w:sz w:val="20"/>
          <w:szCs w:val="20"/>
        </w:rPr>
        <w:t>lso provides that the court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"may appoint a law guardian for the infant children, or may direct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parties to submit to the court, a list of suitable law guardians for selection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by the court.''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FN(4) 269 A.D.2d 82, 711 N.Y.S.2d 663) (4th Dept., 2000).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FN(5) Citing Blauvelt v. Blauvelt, infra.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FN(6) 227 AD2D 315, 642 NYS2D 685 (1st Dept., 1996).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FN(7) Matter of D. Children, 60 N.Y.2d 838, 458 N.E.2d 383,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470 N.Y.S.2d 142 (1983) affirming 90 A.D.2d 348, 456 N.Y.S.2d 1002 for the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 xml:space="preserve">reasons stated in the </w:t>
      </w:r>
      <w:r>
        <w:rPr>
          <w:rFonts w:ascii="CG Times" w:hAnsi="CG Times"/>
          <w:sz w:val="20"/>
          <w:szCs w:val="20"/>
        </w:rPr>
        <w:t>opinion at the Appellate Division.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lastRenderedPageBreak/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FN(8) 219 A.D.2d 694, 631 N.Y.S.2d 760) (2d Dept., 1995).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FN(9) To the same effect is Matter of D. Children, 90 A.D.2d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348, 456 N.Y.S.2d 1002 (4th Dept.,1982) aff'd on opn of Appellate Division, 60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NY2d 838, 470 NYS2d</w:t>
      </w:r>
      <w:r>
        <w:rPr>
          <w:rFonts w:ascii="CG Times" w:hAnsi="CG Times"/>
          <w:sz w:val="20"/>
          <w:szCs w:val="20"/>
        </w:rPr>
        <w:t xml:space="preserve"> 142 where the Appellate Division held that a guardian ad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litem appointed in connection with a proceeding to approve the voluntary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transfer instrument had no authority to act after the instrument was approved,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because the approval of the instrument ended t</w:t>
      </w:r>
      <w:r>
        <w:rPr>
          <w:rFonts w:ascii="CG Times" w:hAnsi="CG Times"/>
          <w:sz w:val="20"/>
          <w:szCs w:val="20"/>
        </w:rPr>
        <w:t>he proceeding.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 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Joel R. Brandes has law offices in Garden City and New York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City. He co- authored the nine-volume Law and the Family New York and Law and</w:t>
      </w:r>
      <w:r>
        <w:rPr>
          <w:rFonts w:ascii="CG Times" w:hAnsi="CG Times"/>
          <w:sz w:val="20"/>
          <w:szCs w:val="20"/>
        </w:rPr>
        <w:t xml:space="preserve"> </w:t>
      </w:r>
      <w:r>
        <w:rPr>
          <w:rFonts w:ascii="CG Times" w:hAnsi="CG Times"/>
          <w:sz w:val="20"/>
          <w:szCs w:val="20"/>
        </w:rPr>
        <w:t>the Family New York Forms (both, published by West Group).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10/24/2000 NYLJ 3, (col. 1)</w:t>
      </w:r>
    </w:p>
    <w:p w:rsidR="00000000" w:rsidRDefault="00E81085">
      <w:pPr>
        <w:pStyle w:val="NormalWeb"/>
        <w:divId w:val="1387755649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END OF DOCUMENT</w:t>
      </w:r>
    </w:p>
    <w:p w:rsidR="00000000" w:rsidRDefault="00E81085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1085"/>
    <w:rsid w:val="00E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B3D5-4016-419E-83CD-9EC08A7E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6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Re-Examining the role of the law guardian. New York Divorce and Family Law, the definitive site about divorce, child support and custody.</vt:lpstr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Re-Examining the role of the law guardian.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2016-07-12T09:59:00Z</dcterms:created>
  <dcterms:modified xsi:type="dcterms:W3CDTF">2016-07-12T09:59:00Z</dcterms:modified>
</cp:coreProperties>
</file>