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05B7">
      <w:pPr>
        <w:pStyle w:val="NormalWeb"/>
      </w:pPr>
      <w:bookmarkStart w:id="0" w:name="_GoBack"/>
      <w:bookmarkEnd w:id="0"/>
    </w:p>
    <w:p w:rsidR="00000000" w:rsidRDefault="00AB05B7">
      <w:pPr>
        <w:ind w:left="720"/>
        <w:divId w:val="102748362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B05B7">
      <w:pPr>
        <w:divId w:val="1027483621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AB05B7">
      <w:pPr>
        <w:pStyle w:val="NormalWeb"/>
        <w:divId w:val="1027483621"/>
      </w:pPr>
      <w:r>
        <w:t xml:space="preserve">  </w:t>
      </w:r>
    </w:p>
    <w:p w:rsidR="00000000" w:rsidRDefault="00AB05B7">
      <w:pPr>
        <w:pStyle w:val="NormalWeb"/>
        <w:divId w:val="1027483621"/>
      </w:pPr>
      <w:r>
        <w:t>LAW AND THE FAMILY</w:t>
      </w:r>
    </w:p>
    <w:p w:rsidR="00000000" w:rsidRDefault="00AB05B7">
      <w:pPr>
        <w:pStyle w:val="Heading2"/>
        <w:divId w:val="1027483621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7"/>
          <w:szCs w:val="27"/>
        </w:rPr>
        <w:t>"</w:t>
      </w:r>
      <w:r>
        <w:rPr>
          <w:rFonts w:ascii="Arial" w:eastAsia="Times New Roman" w:hAnsi="Arial" w:cs="Arial"/>
          <w:sz w:val="24"/>
          <w:szCs w:val="24"/>
        </w:rPr>
        <w:t>OPEN COURT STIPULATIONS IN MATRIMONIAL AGREEMENTS</w:t>
      </w:r>
      <w:r>
        <w:rPr>
          <w:rFonts w:ascii="Arial" w:eastAsia="Times New Roman" w:hAnsi="Arial" w:cs="Arial"/>
          <w:color w:val="0000FF"/>
          <w:sz w:val="24"/>
          <w:szCs w:val="24"/>
        </w:rPr>
        <w:t>"</w:t>
      </w:r>
    </w:p>
    <w:p w:rsidR="00000000" w:rsidRDefault="00AB05B7">
      <w:pPr>
        <w:pStyle w:val="NormalWeb"/>
        <w:divId w:val="1027483621"/>
      </w:pPr>
      <w:hyperlink r:id="rId4" w:history="1">
        <w:r>
          <w:rPr>
            <w:rStyle w:val="Hyperlink"/>
          </w:rPr>
          <w:t>New York Law Journal</w:t>
        </w:r>
      </w:hyperlink>
    </w:p>
    <w:p w:rsidR="00000000" w:rsidRDefault="00AB05B7">
      <w:pPr>
        <w:pStyle w:val="NormalWeb"/>
        <w:divId w:val="1027483621"/>
      </w:pPr>
      <w:r>
        <w:t>May 23, 2000</w:t>
      </w:r>
      <w:hyperlink r:id="rId5" w:history="1">
        <w:r>
          <w:rPr>
            <w:color w:val="0000FF"/>
            <w:u w:val="single"/>
          </w:rPr>
          <w:br/>
        </w:r>
      </w:hyperlink>
    </w:p>
    <w:p w:rsidR="00000000" w:rsidRDefault="00AB05B7">
      <w:pPr>
        <w:pStyle w:val="NormalWeb"/>
        <w:divId w:val="1027483621"/>
      </w:pPr>
      <w:r>
        <w:t>By Joel R. Brandes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Provisions of st</w:t>
      </w:r>
      <w:r>
        <w:rPr>
          <w:rFonts w:ascii="Arial" w:hAnsi="Arial" w:cs="Arial"/>
        </w:rPr>
        <w:t>ate law, if literally applied, would appear to foreclose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possibility of a less-formal agreement qualifying to serve in lieu of equitable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distribution in case of divorce. However, when construed in the light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legislative purpose, and in pari materia w</w:t>
      </w:r>
      <w:r>
        <w:rPr>
          <w:rFonts w:ascii="Arial" w:hAnsi="Arial" w:cs="Arial"/>
        </w:rPr>
        <w:t>ith CPLR 2104, most courts, to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date, have held that a stipulation on the record in open court may serve in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lieu of the prescribed formalities.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Some of the above-mentioned provisions include the following: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Domestic Relations Law, 236B)(3), which governs mat</w:t>
      </w:r>
      <w:r>
        <w:rPr>
          <w:rFonts w:ascii="Arial" w:hAnsi="Arial" w:cs="Arial"/>
        </w:rPr>
        <w:t>rimonial agreements. It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provides, in part: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Agreement of the parties. An agreement by the parties, made before or during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marriage, shall be valid and enforceable in a matrimonial action if such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agreement is in writing, subscribed by the parties, and ack</w:t>
      </w:r>
      <w:r>
        <w:rPr>
          <w:rFonts w:ascii="Arial" w:hAnsi="Arial" w:cs="Arial"/>
        </w:rPr>
        <w:t>nowledged or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proven in the manner required to entitle a deed to be recorded. Such an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agreement may include (1) a contract to make a testamentary provision of any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kind, or a waiver or any right to elect against the provisions of a will; (2)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provision for th</w:t>
      </w:r>
      <w:r>
        <w:rPr>
          <w:rFonts w:ascii="Arial" w:hAnsi="Arial" w:cs="Arial"/>
        </w:rPr>
        <w:t>e ownership, division or distribution of separate and marital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property; (3) provision for the amount and duration of maintenance or other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terms and conditions of the marriage relationship, subject to the provisions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of section 5-311 of the general obligations law, and provided that such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terms were fair and reasonable at the time of the making of the agreement and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are not unconscionable at the time of entry of the final judgment; and (4)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provision for the custody, care</w:t>
      </w:r>
      <w:r>
        <w:rPr>
          <w:rFonts w:ascii="Arial" w:hAnsi="Arial" w:cs="Arial"/>
        </w:rPr>
        <w:t>, education and maintenance of any child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parties, subject to the provisions of section two hundred forty of this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chapter. Nothing in this subdivision shall be deemed to affect the validity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of any agreement made prior to the effective date of this su</w:t>
      </w:r>
      <w:r>
        <w:rPr>
          <w:rFonts w:ascii="Arial" w:hAnsi="Arial" w:cs="Arial"/>
        </w:rPr>
        <w:t>bdivision.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New York Civil Practice Law 2103 governs stipulations made between the parties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an action or proceeding. It provides: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Stipulations. An agreement between parties or their attorneys relating to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any matter in an action, other than one made betwee</w:t>
      </w:r>
      <w:r>
        <w:rPr>
          <w:rFonts w:ascii="Arial" w:hAnsi="Arial" w:cs="Arial"/>
        </w:rPr>
        <w:t>n counsel in open court,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is not binding upon a party unless it is in a writing subscribed by him or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his attorney or reduced to the form of an order and entered.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After reading those provisions, to be valid, and to serve in lieu of equitable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distribution, on</w:t>
      </w:r>
      <w:r>
        <w:rPr>
          <w:rFonts w:ascii="Arial" w:hAnsi="Arial" w:cs="Arial"/>
        </w:rPr>
        <w:t>e concludes that a matrimonial agreement must be in writing,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subscribed by the parties, and acknowledged or proven in the manner required to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entitle a deed to be recorded. [FN1]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provisions appear to prevent less-formal pacts from qualifying to serve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</w:t>
      </w:r>
      <w:r>
        <w:rPr>
          <w:rFonts w:ascii="Arial" w:hAnsi="Arial" w:cs="Arial"/>
        </w:rPr>
        <w:t>stead of equitable distribution. But, as said above, most courts have held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stipulation in open court may bypass formalities.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illustrate some case law on the subject we have the following: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Appellate Division, First and Second Departments, [FN2</w:t>
      </w:r>
      <w:r>
        <w:rPr>
          <w:rFonts w:ascii="Arial" w:hAnsi="Arial" w:cs="Arial"/>
        </w:rPr>
        <w:t>] have sustained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validity of stipulations in lieu of formal agreements, but the Third and Fourth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Departments have failed to do so. [FN3]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Matisoff v. Dobi, [FN4] the Court of Appeals held that a written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postnuptial agreement that was signed by the pa</w:t>
      </w:r>
      <w:r>
        <w:rPr>
          <w:rFonts w:ascii="Arial" w:hAnsi="Arial" w:cs="Arial"/>
        </w:rPr>
        <w:t>rties but not acknowledged is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unenforceable. Plaintiff and defendant were married on April 13, 1981. Because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of defendant's two prior unsuccessful marriages, plaintiff wished to protect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her real property and other assets in the event that their marriage fa</w:t>
      </w:r>
      <w:r>
        <w:rPr>
          <w:rFonts w:ascii="Arial" w:hAnsi="Arial" w:cs="Arial"/>
        </w:rPr>
        <w:t>iled.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Thus, at plaintiff's urging, the parties entered into a postnuptial agreement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one month later.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agreement provided that the parties waived any rights of election pursuant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 the Estates, Power and Trusts Law, "and other rights accruing solely by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reason of the marriage" with regard to property presently owned or subsequently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acquired by either party. It specified that "neither party shall have nor shall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such party acquire any right, title or claim in and to the real and personal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estate of the other</w:t>
      </w:r>
      <w:r>
        <w:rPr>
          <w:rFonts w:ascii="Arial" w:hAnsi="Arial" w:cs="Arial"/>
        </w:rPr>
        <w:t xml:space="preserve"> solely by reason of the marriage of the parties."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agreement was drafted by an attorney friend of plaintiff and signed by both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plaintiff and defendant. The document was not acknowledged by the parties or by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anyone else.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divorce action was commenced</w:t>
      </w:r>
      <w:r>
        <w:rPr>
          <w:rFonts w:ascii="Arial" w:hAnsi="Arial" w:cs="Arial"/>
        </w:rPr>
        <w:t xml:space="preserve"> on Sept. 17, 1992. Defendant sought to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enforce the postnuptial agreement as a bar to any claim of entitlement by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plaintiff to his property acquired before or during the marriage. Plaintiff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contended that the agreement was invalid because it was not acknow</w:t>
      </w:r>
      <w:r>
        <w:rPr>
          <w:rFonts w:ascii="Arial" w:hAnsi="Arial" w:cs="Arial"/>
        </w:rPr>
        <w:t>ledged as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required by Domestic Relations Law 236(B)(3). Both parties testified at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trial that they had signed the agreement, and neither made any allegation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fraud or duress.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Supreme Court deemed the agreement unenforceable, concluding that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admissions</w:t>
      </w:r>
      <w:r>
        <w:rPr>
          <w:rFonts w:ascii="Arial" w:hAnsi="Arial" w:cs="Arial"/>
        </w:rPr>
        <w:t xml:space="preserve"> by the parties, during a divorce trial 13 years later, that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signatures on the agreement were genuine, aided to validate the unacknowledged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agreement. The Appellate Division reversed, with one Justice dissenting. It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concluded that the terms of the post</w:t>
      </w:r>
      <w:r>
        <w:rPr>
          <w:rFonts w:ascii="Arial" w:hAnsi="Arial" w:cs="Arial"/>
        </w:rPr>
        <w:t>nuptial agreement "were acknowledged and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ratified in the daily activities and property relations of the parties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throughout the marriage.''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Court of Appeals determined that, in these particular circumstances,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agreement was contrary to the plain lang</w:t>
      </w:r>
      <w:r>
        <w:rPr>
          <w:rFonts w:ascii="Arial" w:hAnsi="Arial" w:cs="Arial"/>
        </w:rPr>
        <w:t>uage of Domestic Relations Law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236(B)(3), which recognizes no exception to the requirement of formal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acknowledgment. It therefore reversed, holding that the requisite formality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explicitly specified in Domestic Relations Law 236(B)(3) is essential.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agreement was concededly unacknowledged and, therefore, did not comply with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terms of Domestic Relations Law 236(B)(3).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Defendant argued that literal compliance with the statutory requirement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is not required so long as the purpose of t</w:t>
      </w:r>
      <w:r>
        <w:rPr>
          <w:rFonts w:ascii="Arial" w:hAnsi="Arial" w:cs="Arial"/>
        </w:rPr>
        <w:t>hat requirement is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satisfied. The Court of Appeals held that the unambiguous statutory language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236(B)(3), its history and related statutory provisions, establish that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Legislature did not mean for the formality of acknowledgment to be expendable.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</w:t>
      </w:r>
      <w:r>
        <w:rPr>
          <w:rFonts w:ascii="Arial" w:hAnsi="Arial" w:cs="Arial"/>
        </w:rPr>
        <w:t>e court noted that Domestic Relations Law 236(B)(3) and the Real Property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Law do not specify when the requisite acknowledgment must be made and that it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was unclear whether acknowledgment must be contemporaneous with the signing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agreement. It pointed</w:t>
      </w:r>
      <w:r>
        <w:rPr>
          <w:rFonts w:ascii="Arial" w:hAnsi="Arial" w:cs="Arial"/>
        </w:rPr>
        <w:t xml:space="preserve"> out that while it has affirmed determinations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allowing parties to provide the requisite acknowledgment under similar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statutory requirements at a later date, it noted that it had never directly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addressed the question whether and under what circumstances th</w:t>
      </w:r>
      <w:r>
        <w:rPr>
          <w:rFonts w:ascii="Arial" w:hAnsi="Arial" w:cs="Arial"/>
        </w:rPr>
        <w:t>e absence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can be cured and decided that it need not resolve this issue.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held that even assuming, without deciding, that the requisite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could be supplied at the time of the matrimonial action, each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party's admission in ope</w:t>
      </w:r>
      <w:r>
        <w:rPr>
          <w:rFonts w:ascii="Arial" w:hAnsi="Arial" w:cs="Arial"/>
        </w:rPr>
        <w:t>n court that the signatures were authentic did not, by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itself, constitute proper acknowledgment under 236(B)(3).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statute prescribes acknowledgment "in the manner to entitle a deed to be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recorded." This requires both that an oral acknowledgment be made </w:t>
      </w:r>
      <w:r>
        <w:rPr>
          <w:rFonts w:ascii="Arial" w:hAnsi="Arial" w:cs="Arial"/>
        </w:rPr>
        <w:t>before an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authorized officer and that a written certificate of acknowledgment be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attached (see, Real Property Law 291, 306). As the Court explained, "[a]n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instrument is not 'duly acknowledged' unless there is not only the oral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but the writte</w:t>
      </w:r>
      <w:r>
        <w:rPr>
          <w:rFonts w:ascii="Arial" w:hAnsi="Arial" w:cs="Arial"/>
        </w:rPr>
        <w:t>n certificate also, as required by the statutes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regulating the subject." Because no proper certificate of acknowledgment was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attached to the agreement, the court held that the postnuptial agreement was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invalid.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Court of Appeals held that the DRL 236(B)(3) requires the invalidation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of any nuptial agreement not acknowledged in the manner of a recordable deed.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Recognizing that such a "bright line" rule might produce harsh results,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Court nonetheless expressed</w:t>
      </w:r>
      <w:r>
        <w:rPr>
          <w:rFonts w:ascii="Arial" w:hAnsi="Arial" w:cs="Arial"/>
        </w:rPr>
        <w:t xml:space="preserve"> the view that it was of paramount importance that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enforceability of nuptial agreements be consistent and predictable and,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accordingly, held that the validity of such agreements should not be made to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depend upon subsequent fact-sensitive inquiries resp</w:t>
      </w:r>
      <w:r>
        <w:rPr>
          <w:rFonts w:ascii="Arial" w:hAnsi="Arial" w:cs="Arial"/>
        </w:rPr>
        <w:t>ecting the parties'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original motivations or their postcontractual economic relations during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marriage.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literal reading of Matisoff would lead to the inescapable conclusion that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open court stipulations are not valid and enforceable agreements within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</w:t>
      </w:r>
      <w:r>
        <w:rPr>
          <w:rFonts w:ascii="Arial" w:hAnsi="Arial" w:cs="Arial"/>
        </w:rPr>
        <w:t>aning of DRL 236(B)(3). Not so!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Recently, in Nordgren v. Nordgren, [FN5] an action for a divorce and ancillary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relief, the plaintiff wife appealed from an order of the Supreme Court which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denied her motion to vacate the parties' stipulation of settlement. </w:t>
      </w:r>
      <w:r>
        <w:rPr>
          <w:rFonts w:ascii="Arial" w:hAnsi="Arial" w:cs="Arial"/>
        </w:rPr>
        <w:t>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Appellate Division affirmed. The plaintiff contended that the parties'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stipulation had to be vacated because it was not reduced to a writing, signed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by the parties and acknowledged. The court noted that CPLR 2104 provides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that, other than an agreement </w:t>
      </w:r>
      <w:r>
        <w:rPr>
          <w:rFonts w:ascii="Arial" w:hAnsi="Arial" w:cs="Arial"/>
        </w:rPr>
        <w:t>between counsel in open court, an agreement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between parties or their attorneys relating to any matter in an action is not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binding unless it is in a writing subscribed by the party or his or her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attorney or reduced to the form of an order and entered. It fo</w:t>
      </w:r>
      <w:r>
        <w:rPr>
          <w:rFonts w:ascii="Arial" w:hAnsi="Arial" w:cs="Arial"/>
        </w:rPr>
        <w:t>und that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agreement was made in open court between counsel with the parties present.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Therefore, there was no necessity that it be reduced to a writing and signed.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stated that to the extent that the plaintiff relied upon Matisoff v. Dobi to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support he</w:t>
      </w:r>
      <w:r>
        <w:rPr>
          <w:rFonts w:ascii="Arial" w:hAnsi="Arial" w:cs="Arial"/>
        </w:rPr>
        <w:t>r position, "there is nothing in Matisoff v. Dobi, 90 NY2d 127,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which indicates that the Court of Appeals intended to abrogate the well-settled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law of Rule 2104 of the Civil Practice Law and Rules.''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And, in Charland v. Charland, [FN6] the Third Department</w:t>
      </w:r>
      <w:r>
        <w:rPr>
          <w:rFonts w:ascii="Arial" w:hAnsi="Arial" w:cs="Arial"/>
        </w:rPr>
        <w:t xml:space="preserve"> appears to have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relaxed its restrictive rule. In Charland, immediately prior to commencement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trial in April 1997, defendant withdrew his answer, permitting plaintiff to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obtain a divorce on the ground of cruel and inhuman treatment.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trial commenced as to the remaining issues, with the parties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stipulating to the terms of the Family Court custody order, to child support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 to the value of all marital assets and liabilities except the marital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residence and defendant's corporation. Sup</w:t>
      </w:r>
      <w:r>
        <w:rPr>
          <w:rFonts w:ascii="Arial" w:hAnsi="Arial" w:cs="Arial"/>
        </w:rPr>
        <w:t>reme Court thereafter rendered a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written decision upon the issues of custody, child support, maintenance and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equitable distribution. Defendant appealed from the judgment entered thereon.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Third Department rejected defendant's assertion that reversal was</w:t>
      </w:r>
      <w:r>
        <w:rPr>
          <w:rFonts w:ascii="Arial" w:hAnsi="Arial" w:cs="Arial"/>
        </w:rPr>
        <w:t xml:space="preserve"> mandated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because the Supreme Court's determinations as to custody, child support and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equitable distribution improperly relied on certain stipulations by the parties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which did not conform to the requirement of Domestic Relations Law 236(B)(3)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that they </w:t>
      </w:r>
      <w:r>
        <w:rPr>
          <w:rFonts w:ascii="Arial" w:hAnsi="Arial" w:cs="Arial"/>
        </w:rPr>
        <w:t>were not "in writing, subscribed by the parties, and acknowledged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or proven in the manner required to entitle a deed to be recorded."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found this assertion to be without merit, stating: "The requirements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Domestic Relations Law 236(B)(3) pertain to sti</w:t>
      </w:r>
      <w:r>
        <w:rPr>
          <w:rFonts w:ascii="Arial" w:hAnsi="Arial" w:cs="Arial"/>
        </w:rPr>
        <w:t>pulations which effect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equitable distribution of marital property (see generally, Matisoff v. Dobi,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90 NY2d 127, lv. denied 91 NY2d 805).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Here, the parties' stipulations related to the value of certain marital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property (and debt); equitable distributio</w:t>
      </w:r>
      <w:r>
        <w:rPr>
          <w:rFonts w:ascii="Arial" w:hAnsi="Arial" w:cs="Arial"/>
        </w:rPr>
        <w:t>n, which was determined by the court;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custody; and the manner in which child support was to be calculated. As such,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their stipulations were not marital agreements within the meaning of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Domestic Relations Law 236(B)(3), but rather agreements by the parties,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through their counsel in open court, within the purview of CPLR 2104.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FN(1) Dom. Rel. L. 236, Part B, subdiv 3.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FN(2) Sanders v. Copley, (1989, 1st Dept.) 151 App Div 2d 350, 543 NYS2d 67;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Harrington v. Harrington, (2d Dept) 103 AD2d 356, 479 NYS2d 1000. </w:t>
      </w:r>
      <w:r>
        <w:rPr>
          <w:rFonts w:ascii="Arial" w:hAnsi="Arial" w:cs="Arial"/>
        </w:rPr>
        <w:t>See also,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Josephson v. Josephson, 121 Misc.2d 572, 469 NYS2d 285.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FN(3) Lischynsky v. Lischynsky, (3d Dept) 95 AD2d 111, 466 NYS2d 815 and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Hanford v. Hanford (4th Dept.) 91 AD2d 829, 458 NYS2d 418.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FN(4) 90 N.Y.2d 127, 659 N.Y.S.2d 209, 681 N.E.2d 376.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FN(5) AD2d , 695 N.Y.S.2d 588 (2d Dept.,1999).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FN(6) 1999 WL 1126799 (N.Y.A.D. 3 Dept.).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Joel R. Brandes has law offices in Garden City and New York City. He co-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authored the nine-volume Law and the Family New York and Law and the Family New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York Forms (bo</w:t>
      </w:r>
      <w:r>
        <w:rPr>
          <w:rFonts w:ascii="Arial" w:hAnsi="Arial" w:cs="Arial"/>
        </w:rPr>
        <w:t>th, published by Westgroup). Bari R. Brandes, a member of the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firm, co-authors the Annual Supplements to Law and the Family New York 2d and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assisted in the preparation of this article.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5/23/2000 NYLJ 3, (col. 1)</w:t>
      </w:r>
    </w:p>
    <w:p w:rsidR="00000000" w:rsidRDefault="00AB05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END OF DOCUMENT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05B7"/>
    <w:rsid w:val="00A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3C9C-7734-44BA-82B0-AC70736F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362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lj.com/" TargetMode="Externa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Court Stipulations. New York Divorce and Family Law, the definitive site about divorce, child support and custody.</vt:lpstr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Court Stipulations.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2016-07-12T01:19:00Z</dcterms:created>
  <dcterms:modified xsi:type="dcterms:W3CDTF">2016-07-12T01:19:00Z</dcterms:modified>
</cp:coreProperties>
</file>