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6866">
      <w:pPr>
        <w:pStyle w:val="NormalWeb"/>
      </w:pPr>
      <w:r>
        <w:t>L</w:t>
      </w:r>
      <w:bookmarkStart w:id="0" w:name="_GoBack"/>
      <w:bookmarkEnd w:id="0"/>
      <w:r>
        <w:t>AW AND THE FAMILY</w:t>
      </w:r>
    </w:p>
    <w:p w:rsidR="00000000" w:rsidRDefault="00F16866">
      <w:pPr>
        <w:pStyle w:val="Heading2"/>
        <w:rPr>
          <w:rFonts w:eastAsia="Times New Roman"/>
        </w:rPr>
      </w:pPr>
      <w:r>
        <w:rPr>
          <w:rFonts w:eastAsia="Times New Roman"/>
        </w:rPr>
        <w:t xml:space="preserve">No Safe Harbor for Open-Court Stipulations </w:t>
      </w:r>
    </w:p>
    <w:p w:rsidR="00000000" w:rsidRDefault="00F16866">
      <w:pPr>
        <w:pStyle w:val="NormalWeb"/>
      </w:pPr>
      <w:r>
        <w:t>By Joel R. Brandes</w:t>
      </w:r>
    </w:p>
    <w:p w:rsidR="00000000" w:rsidRDefault="00F16866">
      <w:pPr>
        <w:pStyle w:val="NormalWeb"/>
      </w:pPr>
      <w:hyperlink r:id="rId4" w:history="1">
        <w:r>
          <w:rPr>
            <w:rStyle w:val="Hyperlink"/>
          </w:rPr>
          <w:t>The New York Law Journal</w:t>
        </w:r>
      </w:hyperlink>
      <w:r>
        <w:br/>
        <w:t>February 24, 1998</w:t>
      </w:r>
    </w:p>
    <w:p w:rsidR="00000000" w:rsidRDefault="00F16866">
      <w:pPr>
        <w:pStyle w:val="NormalWeb"/>
      </w:pPr>
      <w:r>
        <w:rPr>
          <w:sz w:val="72"/>
          <w:szCs w:val="72"/>
        </w:rPr>
        <w:t>I</w:t>
      </w:r>
      <w:r>
        <w:t xml:space="preserve">N OUR VIEW, open-court settlements of </w:t>
      </w:r>
      <w:r>
        <w:t>matrimonial actions should be enthusiastically encouraged since it is to the advantage of all concerned, especially our courts. However, since the enactment of the Equitable Distribution Law in 1980 there has been an ongoing dispute between the judicial de</w:t>
      </w:r>
      <w:r>
        <w:t>partments regarding the validity of oral "opting-out" agreements made on the record in open court.</w:t>
      </w:r>
    </w:p>
    <w:p w:rsidR="00000000" w:rsidRDefault="00F16866">
      <w:pPr>
        <w:ind w:left="720"/>
        <w:rPr>
          <w:rFonts w:eastAsia="Times New Roman"/>
        </w:rPr>
      </w:pPr>
      <w:r>
        <w:rPr>
          <w:rFonts w:eastAsia="Times New Roman"/>
        </w:rPr>
        <w:t>Domestic Relations Law (DRL) §236(B)(3) provides, in part:</w:t>
      </w:r>
    </w:p>
    <w:p w:rsidR="00000000" w:rsidRDefault="00F16866">
      <w:pPr>
        <w:pStyle w:val="NormalWeb"/>
        <w:divId w:val="991330125"/>
      </w:pPr>
      <w:r>
        <w:t>An agreement by the parties, made before or during the marriage, shall be valid and enforceable in</w:t>
      </w:r>
      <w:r>
        <w:t xml:space="preserve"> a matrimonial action if such agreement is in writing, subscribed by the parties, and acknowledged or proven in the manner required to entitle a deed to be recorded.</w:t>
      </w:r>
    </w:p>
    <w:p w:rsidR="00000000" w:rsidRDefault="00F16866">
      <w:pPr>
        <w:pStyle w:val="NormalWeb"/>
      </w:pPr>
      <w:r>
        <w:t xml:space="preserve">This provision, if literally applied, would appear to foreclose the possibility of a less </w:t>
      </w:r>
      <w:r>
        <w:t>formal agreement qualifying to serve in lieu of equitable distribution.</w:t>
      </w:r>
    </w:p>
    <w:p w:rsidR="00000000" w:rsidRDefault="00F16866">
      <w:pPr>
        <w:pStyle w:val="NormalWeb"/>
      </w:pPr>
      <w:r>
        <w:rPr>
          <w:b/>
          <w:bCs/>
        </w:rPr>
        <w:t>Validity Sustained</w:t>
      </w:r>
      <w:r>
        <w:t xml:space="preserve"> </w:t>
      </w:r>
    </w:p>
    <w:p w:rsidR="00000000" w:rsidRDefault="00F16866">
      <w:pPr>
        <w:ind w:left="720"/>
        <w:rPr>
          <w:rFonts w:eastAsia="Times New Roman"/>
        </w:rPr>
      </w:pPr>
      <w:r>
        <w:rPr>
          <w:rFonts w:eastAsia="Times New Roman"/>
        </w:rPr>
        <w:t>However, since 1980, when the provision was construed in light of the legislative purpose and pari materia with Civil Practice Law and Rules §2104,</w:t>
      </w:r>
      <w:hyperlink w:anchor="bottom" w:history="1">
        <w:r>
          <w:rPr>
            <w:rStyle w:val="Hyperlink"/>
            <w:rFonts w:eastAsia="Times New Roman"/>
          </w:rPr>
          <w:t>1</w:t>
        </w:r>
      </w:hyperlink>
      <w:r>
        <w:rPr>
          <w:rFonts w:eastAsia="Times New Roman"/>
        </w:rPr>
        <w:t xml:space="preserve"> the courts in the First and Second Departments have held that a stipulation on the record in open court may serve in lieu of the prescribed formalities, and they have sustained the validity of stipulations in lieu of formal agreements.</w:t>
      </w:r>
    </w:p>
    <w:p w:rsidR="00000000" w:rsidRDefault="00F16866">
      <w:pPr>
        <w:ind w:left="720"/>
        <w:rPr>
          <w:rFonts w:eastAsia="Times New Roman"/>
        </w:rPr>
      </w:pPr>
      <w:r>
        <w:rPr>
          <w:rFonts w:eastAsia="Times New Roman"/>
        </w:rPr>
        <w:t xml:space="preserve">In </w:t>
      </w:r>
      <w:r>
        <w:rPr>
          <w:rFonts w:eastAsia="Times New Roman"/>
          <w:i/>
          <w:iCs/>
        </w:rPr>
        <w:t>San</w:t>
      </w:r>
      <w:r>
        <w:rPr>
          <w:rFonts w:eastAsia="Times New Roman"/>
          <w:i/>
          <w:iCs/>
        </w:rPr>
        <w:t>ders v. Copley</w:t>
      </w:r>
      <w:r>
        <w:rPr>
          <w:rFonts w:eastAsia="Times New Roman"/>
        </w:rPr>
        <w:t xml:space="preserve"> </w:t>
      </w:r>
      <w:hyperlink w:anchor="bottom" w:history="1">
        <w:r>
          <w:rPr>
            <w:rStyle w:val="Hyperlink"/>
            <w:rFonts w:eastAsia="Times New Roman"/>
          </w:rPr>
          <w:t>2</w:t>
        </w:r>
      </w:hyperlink>
      <w:r>
        <w:rPr>
          <w:rFonts w:eastAsia="Times New Roman"/>
        </w:rPr>
        <w:t xml:space="preserve"> the First Department affirmed an order of the Supreme Court that declined to vacate a stipulation of settlement but directed a reference to determine the circumstances under which it was executed. It held that </w:t>
      </w:r>
      <w:r>
        <w:rPr>
          <w:rFonts w:eastAsia="Times New Roman"/>
        </w:rPr>
        <w:t>DRL §236(B)(3) should not be interpreted as proscribing an oral stipulation made in open court pursuant to CPLR §2104 and that a property settlement conforming with CPLR §2104 need not comply with the formalities "required to entitle a deed to be recorded.</w:t>
      </w:r>
      <w:r>
        <w:rPr>
          <w:rFonts w:eastAsia="Times New Roman"/>
        </w:rPr>
        <w:t>"</w:t>
      </w:r>
    </w:p>
    <w:p w:rsidR="00000000" w:rsidRDefault="00F16866">
      <w:pPr>
        <w:ind w:left="720"/>
        <w:rPr>
          <w:rFonts w:eastAsia="Times New Roman"/>
        </w:rPr>
      </w:pPr>
      <w:r>
        <w:rPr>
          <w:rFonts w:eastAsia="Times New Roman"/>
        </w:rPr>
        <w:t xml:space="preserve">In </w:t>
      </w:r>
      <w:r>
        <w:rPr>
          <w:rFonts w:eastAsia="Times New Roman"/>
          <w:i/>
          <w:iCs/>
        </w:rPr>
        <w:t>Harrington v. Harrington</w:t>
      </w:r>
      <w:r>
        <w:rPr>
          <w:rFonts w:eastAsia="Times New Roman"/>
        </w:rPr>
        <w:t> </w:t>
      </w:r>
      <w:hyperlink w:anchor="bottom" w:history="1">
        <w:r>
          <w:rPr>
            <w:rStyle w:val="Hyperlink"/>
            <w:rFonts w:eastAsia="Times New Roman"/>
          </w:rPr>
          <w:t>3</w:t>
        </w:r>
      </w:hyperlink>
      <w:r>
        <w:rPr>
          <w:rFonts w:eastAsia="Times New Roman"/>
        </w:rPr>
        <w:t xml:space="preserve"> the Second Department held that the validity of a stipulation of settlement of property issues, spread upon the record in open court, although not signed, was not impaired. The court stated its d</w:t>
      </w:r>
      <w:r>
        <w:rPr>
          <w:rFonts w:eastAsia="Times New Roman"/>
        </w:rPr>
        <w:t xml:space="preserve">isagreement with the Fourth Department cases of </w:t>
      </w:r>
      <w:r>
        <w:rPr>
          <w:rFonts w:eastAsia="Times New Roman"/>
          <w:i/>
          <w:iCs/>
        </w:rPr>
        <w:t>Giambattista v. Giambattista </w:t>
      </w:r>
      <w:hyperlink w:anchor="bottom" w:history="1">
        <w:r>
          <w:rPr>
            <w:rStyle w:val="Hyperlink"/>
            <w:rFonts w:eastAsia="Times New Roman"/>
          </w:rPr>
          <w:t>4</w:t>
        </w:r>
      </w:hyperlink>
      <w:r>
        <w:rPr>
          <w:rFonts w:eastAsia="Times New Roman"/>
        </w:rPr>
        <w:t xml:space="preserve"> and </w:t>
      </w:r>
      <w:r>
        <w:rPr>
          <w:rFonts w:eastAsia="Times New Roman"/>
          <w:i/>
          <w:iCs/>
        </w:rPr>
        <w:t>Hanford v. Hanford</w:t>
      </w:r>
      <w:r>
        <w:rPr>
          <w:rFonts w:eastAsia="Times New Roman"/>
        </w:rPr>
        <w:t> </w:t>
      </w:r>
      <w:hyperlink w:anchor="bottom" w:history="1">
        <w:r>
          <w:rPr>
            <w:rStyle w:val="Hyperlink"/>
            <w:rFonts w:eastAsia="Times New Roman"/>
          </w:rPr>
          <w:t>5</w:t>
        </w:r>
      </w:hyperlink>
      <w:r>
        <w:rPr>
          <w:rFonts w:eastAsia="Times New Roman"/>
        </w:rPr>
        <w:t>:</w:t>
      </w:r>
    </w:p>
    <w:p w:rsidR="00000000" w:rsidRDefault="00F16866">
      <w:pPr>
        <w:pStyle w:val="NormalWeb"/>
        <w:divId w:val="1294940353"/>
      </w:pPr>
      <w:r>
        <w:lastRenderedPageBreak/>
        <w:t xml:space="preserve">We also do not believe that </w:t>
      </w:r>
      <w:r>
        <w:rPr>
          <w:i/>
          <w:iCs/>
        </w:rPr>
        <w:t>'</w:t>
      </w:r>
      <w:r>
        <w:t>'the legislative intent [in enacting §236(B)(3)] was to discoura</w:t>
      </w:r>
      <w:r>
        <w:t xml:space="preserve">ge or impede the accepted and expeditious practice of entering into stipulations in open court to settle matrimonial disputes without the necessity of a full trial ... </w:t>
      </w:r>
      <w:r>
        <w:rPr>
          <w:i/>
          <w:iCs/>
        </w:rPr>
        <w:t>,"</w:t>
      </w:r>
      <w:r>
        <w:t xml:space="preserve"> and we conclude that "the Legislature did not intend to abrogate CPLR §2104 with resp</w:t>
      </w:r>
      <w:r>
        <w:t>ect to matrimonial actions settled in open court (* * *)." Therefore, Dom. Rel. L. §236(B)(3) should not be utilized to prohibit an oral stipulation made in open court, but should be more reasonably interpreted "as encouraging agreements between the partie</w:t>
      </w:r>
      <w:r>
        <w:t>s before and during the marriage provided that they are in writing and properly subscribed and acknowledged or entered into in open court" (* * *)."</w:t>
      </w:r>
    </w:p>
    <w:p w:rsidR="00000000" w:rsidRDefault="00F16866">
      <w:pPr>
        <w:ind w:left="720"/>
        <w:rPr>
          <w:rFonts w:eastAsia="Times New Roman"/>
        </w:rPr>
      </w:pPr>
      <w:r>
        <w:rPr>
          <w:rFonts w:eastAsia="Times New Roman"/>
        </w:rPr>
        <w:t>During this time, the courts in the Third and Fourth Departments have insisted on Subdivision 3 formalities</w:t>
      </w:r>
      <w:r>
        <w:rPr>
          <w:rFonts w:eastAsia="Times New Roman"/>
        </w:rPr>
        <w:t>, finding no exception to the strict requirements of the statute.</w:t>
      </w:r>
      <w:hyperlink w:anchor="bottom" w:history="1">
        <w:r>
          <w:rPr>
            <w:rStyle w:val="Hyperlink"/>
            <w:rFonts w:eastAsia="Times New Roman"/>
          </w:rPr>
          <w:t>6</w:t>
        </w:r>
      </w:hyperlink>
    </w:p>
    <w:p w:rsidR="00000000" w:rsidRDefault="00F16866">
      <w:pPr>
        <w:ind w:left="720"/>
        <w:rPr>
          <w:rFonts w:eastAsia="Times New Roman"/>
        </w:rPr>
      </w:pPr>
      <w:r>
        <w:rPr>
          <w:rFonts w:eastAsia="Times New Roman"/>
        </w:rPr>
        <w:t xml:space="preserve">In </w:t>
      </w:r>
      <w:r>
        <w:rPr>
          <w:rFonts w:eastAsia="Times New Roman"/>
          <w:i/>
          <w:iCs/>
        </w:rPr>
        <w:t>Matisoff v. Dobi,</w:t>
      </w:r>
      <w:hyperlink w:anchor="bottom" w:history="1">
        <w:r>
          <w:rPr>
            <w:rStyle w:val="Hyperlink"/>
            <w:rFonts w:eastAsia="Times New Roman"/>
          </w:rPr>
          <w:t>7</w:t>
        </w:r>
      </w:hyperlink>
      <w:r>
        <w:rPr>
          <w:rFonts w:eastAsia="Times New Roman"/>
        </w:rPr>
        <w:t xml:space="preserve"> decided last year, the Court of Appeals held that a written post-nuptial agreement that was signed by the par</w:t>
      </w:r>
      <w:r>
        <w:rPr>
          <w:rFonts w:eastAsia="Times New Roman"/>
        </w:rPr>
        <w:t>ties but not acknowledged is unenforceable. Plaintiff Louise Matisoff and defendant Stephen J. Dobi were married in 1981. Because of defendant's two prior unsuccessful marriages, plaintiff wished to protect her real property and other assets in the event t</w:t>
      </w:r>
      <w:r>
        <w:rPr>
          <w:rFonts w:eastAsia="Times New Roman"/>
        </w:rPr>
        <w:t>hat their marriage failed. At her urging the parties made a post-nuptial agreement one month after marrying.</w:t>
      </w:r>
    </w:p>
    <w:p w:rsidR="00000000" w:rsidRDefault="00F16866">
      <w:pPr>
        <w:ind w:left="720"/>
        <w:rPr>
          <w:rFonts w:eastAsia="Times New Roman"/>
        </w:rPr>
      </w:pPr>
      <w:r>
        <w:rPr>
          <w:rFonts w:eastAsia="Times New Roman"/>
        </w:rPr>
        <w:t xml:space="preserve">At the time, plaintiff was a real estate saleswoman in the New York cooperative apartment market, and defendant was an advisor to the Commissioner </w:t>
      </w:r>
      <w:r>
        <w:rPr>
          <w:rFonts w:eastAsia="Times New Roman"/>
        </w:rPr>
        <w:t xml:space="preserve">of the New York City Department of Cultural Affairs. Each earned about $40,000 annually. The agreement provided that the parties waived any rights of election pursuant to the Estates, Power and Trusts Law "and other rights accruing solely by reason of the </w:t>
      </w:r>
      <w:r>
        <w:rPr>
          <w:rFonts w:eastAsia="Times New Roman"/>
        </w:rPr>
        <w:t>marriage" with regard to property currently owned or subsequently acquired by either one.</w:t>
      </w:r>
    </w:p>
    <w:p w:rsidR="00000000" w:rsidRDefault="00F16866">
      <w:pPr>
        <w:ind w:left="720"/>
        <w:rPr>
          <w:rFonts w:eastAsia="Times New Roman"/>
        </w:rPr>
      </w:pPr>
      <w:r>
        <w:rPr>
          <w:rFonts w:eastAsia="Times New Roman"/>
        </w:rPr>
        <w:t>The agreement specified that "neither party shall have nor shall such party acquire any right, title or claim in and to the real and personal estate of the other sole</w:t>
      </w:r>
      <w:r>
        <w:rPr>
          <w:rFonts w:eastAsia="Times New Roman"/>
        </w:rPr>
        <w:t>ly by reason of the marriage of the parties." The agreement was drafted by an attorney friend of plaintiff and signed by both plaintiff and defendant. The document was not acknowledged by the parties or anyone else.</w:t>
      </w:r>
    </w:p>
    <w:p w:rsidR="00000000" w:rsidRDefault="00F16866">
      <w:pPr>
        <w:ind w:left="720"/>
        <w:rPr>
          <w:rFonts w:eastAsia="Times New Roman"/>
        </w:rPr>
      </w:pPr>
      <w:r>
        <w:rPr>
          <w:rFonts w:eastAsia="Times New Roman"/>
        </w:rPr>
        <w:t>By the time the divorce action was comme</w:t>
      </w:r>
      <w:r>
        <w:rPr>
          <w:rFonts w:eastAsia="Times New Roman"/>
        </w:rPr>
        <w:t xml:space="preserve">nced in 1992, defendant's annual salary had risen to more than $400,000. Plaintiff continued to earn about $40,000. Defendant sought to enforce the post-nuptial agreement as a bar to any claim of entitlement by plaintiff to his property acquired before or </w:t>
      </w:r>
      <w:r>
        <w:rPr>
          <w:rFonts w:eastAsia="Times New Roman"/>
        </w:rPr>
        <w:t>during the marriage. Plaintiff contended that the agreement was invalid because it was not acknowledged as required by DRL §236B(3). Both parties testified at trial that they had signed the agreement. Neither made any allegation of fraud or duress.</w:t>
      </w:r>
    </w:p>
    <w:p w:rsidR="00000000" w:rsidRDefault="00F16866">
      <w:pPr>
        <w:ind w:left="720"/>
        <w:rPr>
          <w:rFonts w:eastAsia="Times New Roman"/>
        </w:rPr>
      </w:pPr>
      <w:r>
        <w:rPr>
          <w:rFonts w:eastAsia="Times New Roman"/>
        </w:rPr>
        <w:t>Supreme</w:t>
      </w:r>
      <w:r>
        <w:rPr>
          <w:rFonts w:eastAsia="Times New Roman"/>
        </w:rPr>
        <w:t xml:space="preserve"> Court deemed the agreement unenforceable, concluding that admissions by the parties, during the trial, that the signatures on the agreement were genuine failed to validate the unacknowledged agreement.</w:t>
      </w:r>
    </w:p>
    <w:p w:rsidR="00000000" w:rsidRDefault="00F16866">
      <w:pPr>
        <w:ind w:left="720"/>
        <w:rPr>
          <w:rFonts w:eastAsia="Times New Roman"/>
        </w:rPr>
      </w:pPr>
      <w:r>
        <w:rPr>
          <w:rFonts w:eastAsia="Times New Roman"/>
        </w:rPr>
        <w:t>The Appellate Division reversed. It concluded that th</w:t>
      </w:r>
      <w:r>
        <w:rPr>
          <w:rFonts w:eastAsia="Times New Roman"/>
        </w:rPr>
        <w:t>e terms of the post-nuptial agreement "were acknowledged and ratified in the daily activities and property relations of the parties throughout the marriage."</w:t>
      </w:r>
    </w:p>
    <w:p w:rsidR="00000000" w:rsidRDefault="00F16866">
      <w:pPr>
        <w:pStyle w:val="NormalWeb"/>
        <w:rPr>
          <w:b/>
          <w:bCs/>
        </w:rPr>
      </w:pPr>
      <w:r>
        <w:rPr>
          <w:b/>
          <w:bCs/>
        </w:rPr>
        <w:t>Contrary to Law's Plain Language</w:t>
      </w:r>
    </w:p>
    <w:p w:rsidR="00000000" w:rsidRDefault="00F16866">
      <w:pPr>
        <w:ind w:left="720"/>
        <w:rPr>
          <w:rFonts w:eastAsia="Times New Roman"/>
        </w:rPr>
      </w:pPr>
      <w:r>
        <w:rPr>
          <w:rFonts w:eastAsia="Times New Roman"/>
        </w:rPr>
        <w:lastRenderedPageBreak/>
        <w:t>The Court of Appeals determined that the agreement was contrary t</w:t>
      </w:r>
      <w:r>
        <w:rPr>
          <w:rFonts w:eastAsia="Times New Roman"/>
        </w:rPr>
        <w:t>o the plain language of DRL §236B(3), which recognizes no exception to the requirement of formal acknowledgment. After considering, "the unambiguous statutory language of §236(B)(3), its history and related statutory provisions," as well as relevant policy</w:t>
      </w:r>
      <w:r>
        <w:rPr>
          <w:rFonts w:eastAsia="Times New Roman"/>
        </w:rPr>
        <w:t xml:space="preserve"> concerns, the court concluded that it was bound to enforce what it determined to be the clear intent of the Legislature to establish a bright-line rule.</w:t>
      </w:r>
    </w:p>
    <w:p w:rsidR="00000000" w:rsidRDefault="00F16866">
      <w:pPr>
        <w:ind w:left="720"/>
        <w:rPr>
          <w:rFonts w:eastAsia="Times New Roman"/>
        </w:rPr>
      </w:pPr>
      <w:r>
        <w:rPr>
          <w:rFonts w:eastAsia="Times New Roman"/>
        </w:rPr>
        <w:t>The parties' oral acknowledgment of the authenticity of their signatures, subsequently made on the rec</w:t>
      </w:r>
      <w:r>
        <w:rPr>
          <w:rFonts w:eastAsia="Times New Roman"/>
        </w:rPr>
        <w:t>ord in open court, did not satisfy the statutory mandate. It therefore reversed, holding that the requisite formality explicitly</w:t>
      </w:r>
    </w:p>
    <w:p w:rsidR="00000000" w:rsidRDefault="00F16866">
      <w:pPr>
        <w:ind w:left="720"/>
        <w:rPr>
          <w:rFonts w:eastAsia="Times New Roman"/>
        </w:rPr>
      </w:pPr>
      <w:r>
        <w:rPr>
          <w:rFonts w:eastAsia="Times New Roman"/>
        </w:rPr>
        <w:t>specified in DRL §236B(3) is essential to the validity of the agreement.</w:t>
      </w:r>
      <w:hyperlink w:anchor="bottom" w:history="1">
        <w:r>
          <w:rPr>
            <w:rStyle w:val="Hyperlink"/>
            <w:rFonts w:eastAsia="Times New Roman"/>
          </w:rPr>
          <w:t>8</w:t>
        </w:r>
      </w:hyperlink>
    </w:p>
    <w:p w:rsidR="00000000" w:rsidRDefault="00F16866">
      <w:pPr>
        <w:ind w:left="720"/>
        <w:rPr>
          <w:rFonts w:eastAsia="Times New Roman"/>
        </w:rPr>
      </w:pPr>
      <w:r>
        <w:rPr>
          <w:rFonts w:eastAsia="Times New Roman"/>
        </w:rPr>
        <w:t xml:space="preserve">In </w:t>
      </w:r>
      <w:r>
        <w:rPr>
          <w:rFonts w:eastAsia="Times New Roman"/>
          <w:i/>
          <w:iCs/>
        </w:rPr>
        <w:t>Harbour v. Harbour,</w:t>
      </w:r>
      <w:hyperlink w:anchor="bottom" w:history="1">
        <w:r>
          <w:rPr>
            <w:rStyle w:val="Hyperlink"/>
            <w:rFonts w:eastAsia="Times New Roman"/>
          </w:rPr>
          <w:t>9</w:t>
        </w:r>
      </w:hyperlink>
      <w:r>
        <w:rPr>
          <w:rFonts w:eastAsia="Times New Roman"/>
        </w:rPr>
        <w:t xml:space="preserve"> reported after </w:t>
      </w:r>
      <w:r>
        <w:rPr>
          <w:rFonts w:eastAsia="Times New Roman"/>
          <w:i/>
          <w:iCs/>
        </w:rPr>
        <w:t>Matisoff</w:t>
      </w:r>
      <w:r>
        <w:rPr>
          <w:rFonts w:eastAsia="Times New Roman"/>
        </w:rPr>
        <w:t>, the parties agreed during the divorce trial on the distribution of their marital property whereby defendant was to receive, among other things, sole ownership of the marital residence and was to pay pla</w:t>
      </w:r>
      <w:r>
        <w:rPr>
          <w:rFonts w:eastAsia="Times New Roman"/>
        </w:rPr>
        <w:t>intiff for her interest in it. A stipulation was then placed on the record in open court by plaintiff's attorney, who indicated that in consideration for the assets plaintiff was to transfer to defendant, including her interest in the marital home, defenda</w:t>
      </w:r>
      <w:r>
        <w:rPr>
          <w:rFonts w:eastAsia="Times New Roman"/>
        </w:rPr>
        <w:t>nt would relinquish his interest in certain joint accounts and also pay plaintiff $38,000.</w:t>
      </w:r>
    </w:p>
    <w:p w:rsidR="00000000" w:rsidRDefault="00F16866">
      <w:pPr>
        <w:ind w:left="720"/>
        <w:rPr>
          <w:rFonts w:eastAsia="Times New Roman"/>
        </w:rPr>
      </w:pPr>
      <w:r>
        <w:rPr>
          <w:rFonts w:eastAsia="Times New Roman"/>
        </w:rPr>
        <w:t>Adverting to the parties' understanding that plaintiff was to be reimbursed for $7,000 of her separate property that had been applied toward the purchase price of th</w:t>
      </w:r>
      <w:r>
        <w:rPr>
          <w:rFonts w:eastAsia="Times New Roman"/>
        </w:rPr>
        <w:t>e house, the attorney expressly stated that this amount was "included in the $38,000."</w:t>
      </w:r>
    </w:p>
    <w:p w:rsidR="00000000" w:rsidRDefault="00F16866">
      <w:pPr>
        <w:ind w:left="720"/>
        <w:rPr>
          <w:rFonts w:eastAsia="Times New Roman"/>
        </w:rPr>
      </w:pPr>
      <w:r>
        <w:rPr>
          <w:rFonts w:eastAsia="Times New Roman"/>
        </w:rPr>
        <w:t xml:space="preserve">Plaintiff maintained that the $7,000 was to be paid in addition to the $38,000 and that she and her attorney discovered the error the following day upon reviewing their </w:t>
      </w:r>
      <w:r>
        <w:rPr>
          <w:rFonts w:eastAsia="Times New Roman"/>
        </w:rPr>
        <w:t>notes of the settlement conference. When defendant did not respond to a letter pointing out the claimed error, and requesting payment of the additional $7,000, plaintiff moved for vacatur of the stipulation on the ground of mistake. Her motion was denied a</w:t>
      </w:r>
      <w:r>
        <w:rPr>
          <w:rFonts w:eastAsia="Times New Roman"/>
        </w:rPr>
        <w:t>nd a cross motion by defendant to enforce the stipulation was granted.</w:t>
      </w:r>
    </w:p>
    <w:p w:rsidR="00000000" w:rsidRDefault="00F16866">
      <w:pPr>
        <w:ind w:left="720"/>
        <w:rPr>
          <w:rFonts w:eastAsia="Times New Roman"/>
        </w:rPr>
      </w:pPr>
      <w:r>
        <w:rPr>
          <w:rFonts w:eastAsia="Times New Roman"/>
        </w:rPr>
        <w:t>Thereafter, plaintiff again moved to vacate the stipulation, contending that it was unenforceable because of the parties' failure to execute a valid "opting out" agreement as mandated b</w:t>
      </w:r>
      <w:r>
        <w:rPr>
          <w:rFonts w:eastAsia="Times New Roman"/>
        </w:rPr>
        <w:t xml:space="preserve">y DRL §236(B)(3). Although aware of the Third Department's holding in </w:t>
      </w:r>
      <w:r>
        <w:rPr>
          <w:rFonts w:eastAsia="Times New Roman"/>
          <w:i/>
          <w:iCs/>
        </w:rPr>
        <w:t>Lischynsky v. Lischynsky</w:t>
      </w:r>
      <w:r>
        <w:rPr>
          <w:rFonts w:eastAsia="Times New Roman"/>
        </w:rPr>
        <w:t>,</w:t>
      </w:r>
      <w:hyperlink w:anchor="bottom" w:history="1">
        <w:r>
          <w:rPr>
            <w:rStyle w:val="Hyperlink"/>
            <w:rFonts w:eastAsia="Times New Roman"/>
          </w:rPr>
          <w:t>10</w:t>
        </w:r>
      </w:hyperlink>
      <w:r>
        <w:rPr>
          <w:rFonts w:eastAsia="Times New Roman"/>
        </w:rPr>
        <w:t xml:space="preserve"> Supreme Court, Albany County, believing it would be </w:t>
      </w:r>
      <w:r>
        <w:rPr>
          <w:rFonts w:eastAsia="Times New Roman"/>
        </w:rPr>
        <w:t xml:space="preserve">inequitable to permit plaintiff to disavow her earlier in-court representation that she had intended to "opt out" of the equitable distribution statute, declined to vacate the stipulation. Instead, the court ordered the parties to sign and acknowledge the </w:t>
      </w:r>
      <w:r>
        <w:rPr>
          <w:rFonts w:eastAsia="Times New Roman"/>
        </w:rPr>
        <w:t>requisite written "opting out" agreement nunc pro tunc.</w:t>
      </w:r>
    </w:p>
    <w:p w:rsidR="00000000" w:rsidRDefault="00F16866">
      <w:pPr>
        <w:pStyle w:val="NormalWeb"/>
        <w:rPr>
          <w:b/>
          <w:bCs/>
        </w:rPr>
      </w:pPr>
      <w:r>
        <w:rPr>
          <w:b/>
          <w:bCs/>
        </w:rPr>
        <w:t>No Exception</w:t>
      </w:r>
    </w:p>
    <w:p w:rsidR="00000000" w:rsidRDefault="00F16866">
      <w:pPr>
        <w:ind w:left="720"/>
        <w:rPr>
          <w:rFonts w:eastAsia="Times New Roman"/>
        </w:rPr>
      </w:pPr>
      <w:r>
        <w:rPr>
          <w:rFonts w:eastAsia="Times New Roman"/>
        </w:rPr>
        <w:t xml:space="preserve">The defendant conceded on appeal that a strict application of </w:t>
      </w:r>
      <w:r>
        <w:rPr>
          <w:rFonts w:eastAsia="Times New Roman"/>
          <w:i/>
          <w:iCs/>
        </w:rPr>
        <w:t>Lischynsky</w:t>
      </w:r>
      <w:r>
        <w:rPr>
          <w:rFonts w:eastAsia="Times New Roman"/>
        </w:rPr>
        <w:t xml:space="preserve"> to the case would require reversal of Supreme Court's </w:t>
      </w:r>
      <w:r>
        <w:rPr>
          <w:rFonts w:eastAsia="Times New Roman"/>
        </w:rPr>
        <w:t xml:space="preserve">order denying plaintiff's second motion and urged the Third Department to overrule that case. The court rejected this argument in light of the decision in </w:t>
      </w:r>
      <w:r>
        <w:rPr>
          <w:rFonts w:eastAsia="Times New Roman"/>
          <w:i/>
          <w:iCs/>
        </w:rPr>
        <w:t>Matisoff v. Dobi</w:t>
      </w:r>
      <w:r>
        <w:rPr>
          <w:rFonts w:eastAsia="Times New Roman"/>
        </w:rPr>
        <w:t xml:space="preserve"> noting that the Court of Appeals, applying the same statutory provision in a slightl</w:t>
      </w:r>
      <w:r>
        <w:rPr>
          <w:rFonts w:eastAsia="Times New Roman"/>
        </w:rPr>
        <w:t>y different context, found compliance with the prescribed formalities, including written acknowledgment, indispensable to the creation of a valid, enforceable marital contract, without exception.</w:t>
      </w:r>
    </w:p>
    <w:p w:rsidR="00000000" w:rsidRDefault="00F16866">
      <w:pPr>
        <w:ind w:left="720"/>
        <w:rPr>
          <w:rFonts w:eastAsia="Times New Roman"/>
        </w:rPr>
      </w:pPr>
      <w:r>
        <w:rPr>
          <w:rFonts w:eastAsia="Times New Roman"/>
        </w:rPr>
        <w:t>The court held that "[E]quivalent reasoning leads us to conc</w:t>
      </w:r>
      <w:r>
        <w:rPr>
          <w:rFonts w:eastAsia="Times New Roman"/>
        </w:rPr>
        <w:t xml:space="preserve">lude that the order" here, directing plaintiff to execute a written "opting out" agreement based on a similar oral </w:t>
      </w:r>
      <w:r>
        <w:rPr>
          <w:rFonts w:eastAsia="Times New Roman"/>
        </w:rPr>
        <w:lastRenderedPageBreak/>
        <w:t xml:space="preserve">averment, cannot be upheld. To rule otherwise would, in essence, transform that oral representation, which does not comply with the explicit </w:t>
      </w:r>
      <w:r>
        <w:rPr>
          <w:rFonts w:eastAsia="Times New Roman"/>
        </w:rPr>
        <w:t>formalities specified in the statute, into a binding act, in direct contravention of the legislative intent." As the parties had not validly "opted out" of the statutory scheme governing the distribution of marital property, the stipulation was unenforceab</w:t>
      </w:r>
      <w:r>
        <w:rPr>
          <w:rFonts w:eastAsia="Times New Roman"/>
        </w:rPr>
        <w:t>le and was set aside.</w:t>
      </w:r>
    </w:p>
    <w:p w:rsidR="00000000" w:rsidRDefault="00F16866">
      <w:pPr>
        <w:ind w:left="720"/>
        <w:rPr>
          <w:rFonts w:eastAsia="Times New Roman"/>
        </w:rPr>
      </w:pPr>
      <w:r>
        <w:rPr>
          <w:rFonts w:eastAsia="Times New Roman"/>
        </w:rPr>
        <w:t xml:space="preserve">It appears that as a consequence of the Court of Appeals holding in </w:t>
      </w:r>
      <w:r>
        <w:rPr>
          <w:rFonts w:eastAsia="Times New Roman"/>
          <w:i/>
          <w:iCs/>
        </w:rPr>
        <w:t>Matisoff v. Dobi</w:t>
      </w:r>
      <w:r>
        <w:rPr>
          <w:rFonts w:eastAsia="Times New Roman"/>
        </w:rPr>
        <w:t xml:space="preserve"> the upstate rule will prevail. Until </w:t>
      </w:r>
      <w:r>
        <w:rPr>
          <w:rFonts w:eastAsia="Times New Roman"/>
          <w:i/>
          <w:iCs/>
        </w:rPr>
        <w:t>Harbour</w:t>
      </w:r>
      <w:r>
        <w:rPr>
          <w:rFonts w:eastAsia="Times New Roman"/>
        </w:rPr>
        <w:t xml:space="preserve"> is reviewed by the Court of Appeals, and the dispute between the Departments is resolved, caution should</w:t>
      </w:r>
      <w:r>
        <w:rPr>
          <w:rFonts w:eastAsia="Times New Roman"/>
        </w:rPr>
        <w:t xml:space="preserve"> be exercised by counsel before succumbing to the temptation to enter into an open-court stipulation of settlement.</w:t>
      </w:r>
    </w:p>
    <w:p w:rsidR="00000000" w:rsidRDefault="00F16866">
      <w:pPr>
        <w:pStyle w:val="NormalWeb"/>
        <w:jc w:val="center"/>
      </w:pPr>
      <w:r>
        <w:t>----------------------</w:t>
      </w:r>
    </w:p>
    <w:p w:rsidR="00000000" w:rsidRDefault="00F16866">
      <w:pPr>
        <w:pStyle w:val="NormalWeb"/>
        <w:jc w:val="center"/>
      </w:pPr>
      <w:r>
        <w:t>Notes</w:t>
      </w:r>
    </w:p>
    <w:p w:rsidR="00000000" w:rsidRDefault="00F16866">
      <w:pPr>
        <w:ind w:left="720"/>
        <w:rPr>
          <w:rFonts w:eastAsia="Times New Roman"/>
        </w:rPr>
      </w:pPr>
      <w:bookmarkStart w:id="1" w:name="bottom"/>
      <w:bookmarkEnd w:id="1"/>
      <w:r>
        <w:rPr>
          <w:rFonts w:eastAsia="Times New Roman"/>
          <w:sz w:val="20"/>
          <w:szCs w:val="20"/>
        </w:rPr>
        <w:t>(1) CPLR §2104 provides: "An agreement between parties or their attorneys relating to a matter in an action, ot</w:t>
      </w:r>
      <w:r>
        <w:rPr>
          <w:rFonts w:eastAsia="Times New Roman"/>
          <w:sz w:val="20"/>
          <w:szCs w:val="20"/>
        </w:rPr>
        <w:t>her than one made between counsel in open court, is not binding upon a party unless it be in writing by him or his attorney or reduced to the form of an order and entered."</w:t>
      </w:r>
    </w:p>
    <w:p w:rsidR="00000000" w:rsidRDefault="00F16866">
      <w:pPr>
        <w:ind w:left="720"/>
        <w:rPr>
          <w:rFonts w:eastAsia="Times New Roman"/>
        </w:rPr>
      </w:pPr>
      <w:r>
        <w:rPr>
          <w:rFonts w:eastAsia="Times New Roman"/>
          <w:sz w:val="20"/>
          <w:szCs w:val="20"/>
        </w:rPr>
        <w:t>(2) 1st Dept. 1989, 151 AD2d 350.</w:t>
      </w:r>
    </w:p>
    <w:p w:rsidR="00000000" w:rsidRDefault="00F16866">
      <w:pPr>
        <w:ind w:left="720"/>
        <w:rPr>
          <w:rFonts w:eastAsia="Times New Roman"/>
        </w:rPr>
      </w:pPr>
      <w:r>
        <w:rPr>
          <w:rFonts w:eastAsia="Times New Roman"/>
          <w:sz w:val="20"/>
          <w:szCs w:val="20"/>
        </w:rPr>
        <w:t xml:space="preserve">(3) 2d Dept. 1984, 103 AD2d 356. </w:t>
      </w:r>
      <w:r>
        <w:rPr>
          <w:rFonts w:eastAsia="Times New Roman"/>
          <w:i/>
          <w:iCs/>
          <w:sz w:val="20"/>
          <w:szCs w:val="20"/>
        </w:rPr>
        <w:t>Jensen v. Jensen</w:t>
      </w:r>
      <w:r>
        <w:rPr>
          <w:rFonts w:eastAsia="Times New Roman"/>
          <w:i/>
          <w:iCs/>
          <w:sz w:val="20"/>
          <w:szCs w:val="20"/>
        </w:rPr>
        <w:t xml:space="preserve"> </w:t>
      </w:r>
      <w:r>
        <w:rPr>
          <w:rFonts w:eastAsia="Times New Roman"/>
          <w:sz w:val="20"/>
          <w:szCs w:val="20"/>
        </w:rPr>
        <w:t>(2d Dept. 1985) 110 AD2d 679, sustained an on-the-record stipulation involving a property settlement and expressly disapproved contrary decisions from the Third and Fourth Departments.</w:t>
      </w:r>
    </w:p>
    <w:p w:rsidR="00000000" w:rsidRDefault="00F16866">
      <w:pPr>
        <w:ind w:left="720"/>
        <w:rPr>
          <w:rFonts w:eastAsia="Times New Roman"/>
        </w:rPr>
      </w:pPr>
      <w:r>
        <w:rPr>
          <w:rFonts w:eastAsia="Times New Roman"/>
          <w:sz w:val="20"/>
          <w:szCs w:val="20"/>
        </w:rPr>
        <w:t>(4) 4th Dept. 1982, 89 AD2d 1057.</w:t>
      </w:r>
    </w:p>
    <w:p w:rsidR="00000000" w:rsidRDefault="00F16866">
      <w:pPr>
        <w:ind w:left="720"/>
        <w:rPr>
          <w:rFonts w:eastAsia="Times New Roman"/>
        </w:rPr>
      </w:pPr>
      <w:r>
        <w:rPr>
          <w:rFonts w:eastAsia="Times New Roman"/>
          <w:sz w:val="20"/>
          <w:szCs w:val="20"/>
        </w:rPr>
        <w:t>(5) 4th Dept. 1982, 91 AD2d 829.</w:t>
      </w:r>
    </w:p>
    <w:p w:rsidR="00000000" w:rsidRDefault="00F16866">
      <w:pPr>
        <w:ind w:left="720"/>
        <w:rPr>
          <w:rFonts w:eastAsia="Times New Roman"/>
        </w:rPr>
      </w:pPr>
      <w:r>
        <w:rPr>
          <w:rFonts w:eastAsia="Times New Roman"/>
          <w:sz w:val="20"/>
          <w:szCs w:val="20"/>
        </w:rPr>
        <w:t>(6)</w:t>
      </w:r>
      <w:r>
        <w:rPr>
          <w:rFonts w:eastAsia="Times New Roman"/>
          <w:sz w:val="20"/>
          <w:szCs w:val="20"/>
        </w:rPr>
        <w:t xml:space="preserve"> See </w:t>
      </w:r>
      <w:r>
        <w:rPr>
          <w:rFonts w:eastAsia="Times New Roman"/>
          <w:i/>
          <w:iCs/>
          <w:sz w:val="20"/>
          <w:szCs w:val="20"/>
        </w:rPr>
        <w:t xml:space="preserve">Lischynsky v. Lischynsky, </w:t>
      </w:r>
      <w:r>
        <w:rPr>
          <w:rFonts w:eastAsia="Times New Roman"/>
          <w:sz w:val="20"/>
          <w:szCs w:val="20"/>
        </w:rPr>
        <w:t xml:space="preserve">95 AD2d 111 (3d Dept. 1983) and </w:t>
      </w:r>
      <w:r>
        <w:rPr>
          <w:rFonts w:eastAsia="Times New Roman"/>
          <w:i/>
          <w:iCs/>
          <w:sz w:val="20"/>
          <w:szCs w:val="20"/>
        </w:rPr>
        <w:t>Hanford v. Hanford,</w:t>
      </w:r>
      <w:r>
        <w:rPr>
          <w:rFonts w:eastAsia="Times New Roman"/>
          <w:sz w:val="20"/>
          <w:szCs w:val="20"/>
        </w:rPr>
        <w:t xml:space="preserve"> 91 AD2d 829 (4th Dept. 1982).</w:t>
      </w:r>
    </w:p>
    <w:p w:rsidR="00000000" w:rsidRDefault="00F16866">
      <w:pPr>
        <w:ind w:left="720"/>
        <w:rPr>
          <w:rFonts w:eastAsia="Times New Roman"/>
        </w:rPr>
      </w:pPr>
      <w:r>
        <w:rPr>
          <w:rFonts w:eastAsia="Times New Roman"/>
          <w:sz w:val="20"/>
          <w:szCs w:val="20"/>
        </w:rPr>
        <w:t>(7) 90 NY2d 127 (1997).</w:t>
      </w:r>
    </w:p>
    <w:p w:rsidR="00000000" w:rsidRDefault="00F16866">
      <w:pPr>
        <w:ind w:left="720"/>
        <w:rPr>
          <w:rFonts w:eastAsia="Times New Roman"/>
        </w:rPr>
      </w:pPr>
      <w:r>
        <w:rPr>
          <w:rFonts w:eastAsia="Times New Roman"/>
          <w:sz w:val="20"/>
          <w:szCs w:val="20"/>
        </w:rPr>
        <w:t>(8) The court noted that DRL §236B(3) and the Real Property Law do not specify when the requisite acknowledgment must b</w:t>
      </w:r>
      <w:r>
        <w:rPr>
          <w:rFonts w:eastAsia="Times New Roman"/>
          <w:sz w:val="20"/>
          <w:szCs w:val="20"/>
        </w:rPr>
        <w:t>e made and that it has never directly addressed whether and under what circumstances the absence of acknowledgment can be cured and decided. It need not resolve this issue.</w:t>
      </w:r>
    </w:p>
    <w:p w:rsidR="00000000" w:rsidRDefault="00F16866">
      <w:pPr>
        <w:ind w:left="720"/>
        <w:rPr>
          <w:rFonts w:eastAsia="Times New Roman"/>
        </w:rPr>
      </w:pPr>
      <w:r>
        <w:rPr>
          <w:rFonts w:eastAsia="Times New Roman"/>
          <w:sz w:val="20"/>
          <w:szCs w:val="20"/>
        </w:rPr>
        <w:t>(9) 664 NYS2d 135 (3d Dept. 1997).</w:t>
      </w:r>
    </w:p>
    <w:p w:rsidR="00000000" w:rsidRDefault="00F16866">
      <w:pPr>
        <w:ind w:left="720"/>
        <w:rPr>
          <w:rFonts w:eastAsia="Times New Roman"/>
        </w:rPr>
      </w:pPr>
      <w:r>
        <w:rPr>
          <w:rFonts w:eastAsia="Times New Roman"/>
          <w:sz w:val="20"/>
          <w:szCs w:val="20"/>
        </w:rPr>
        <w:t>(10) 95 AD2d 111.</w:t>
      </w:r>
    </w:p>
    <w:p w:rsidR="00000000" w:rsidRDefault="00F16866">
      <w:pPr>
        <w:ind w:left="720"/>
        <w:rPr>
          <w:rFonts w:eastAsia="Times New Roman"/>
        </w:rPr>
      </w:pPr>
      <w:r>
        <w:rPr>
          <w:rFonts w:eastAsia="Times New Roman"/>
        </w:rPr>
        <w:t>*********</w:t>
      </w:r>
    </w:p>
    <w:p w:rsidR="00000000" w:rsidRDefault="00F16866">
      <w:pPr>
        <w:jc w:val="center"/>
        <w:rPr>
          <w:rFonts w:eastAsia="Times New Roman"/>
        </w:rPr>
      </w:pPr>
      <w:r>
        <w:rPr>
          <w:rFonts w:eastAsia="Times New Roman"/>
        </w:rPr>
        <w:pict>
          <v:rect id="_x0000_i1025" style="width:468pt;height:1.5pt" o:hralign="center" o:hrstd="t" o:hr="t" fillcolor="#a0a0a0" stroked="f"/>
        </w:pict>
      </w:r>
    </w:p>
    <w:p w:rsidR="00000000" w:rsidRDefault="00F16866">
      <w:pPr>
        <w:pStyle w:val="NormalWeb"/>
        <w:rPr>
          <w:i/>
          <w:iCs/>
        </w:rPr>
      </w:pPr>
      <w:r>
        <w:rPr>
          <w:b/>
          <w:bCs/>
        </w:rPr>
        <w:t xml:space="preserve">Joel R. Brandes </w:t>
      </w:r>
      <w:r>
        <w:rPr>
          <w:i/>
          <w:iCs/>
        </w:rPr>
        <w:t xml:space="preserve">has law offices in Garden City and New York City. He co-authored the nine-volume </w:t>
      </w:r>
      <w:r>
        <w:t xml:space="preserve">Law and the Family New York </w:t>
      </w:r>
      <w:r>
        <w:rPr>
          <w:i/>
          <w:iCs/>
        </w:rPr>
        <w:t xml:space="preserve">and </w:t>
      </w:r>
      <w:r>
        <w:t xml:space="preserve">Law and the Family New York Forms </w:t>
      </w:r>
      <w:r>
        <w:rPr>
          <w:i/>
          <w:iCs/>
        </w:rPr>
        <w:t>(both published by Westgroup).</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16866"/>
    <w:rsid w:val="00F1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9143DF-A2D1-4199-925B-9DCB5073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3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035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 Safe Harbor For Open Court Stipulations. New York Divorce and Family Law, the definitive site about divorce, child support and custody.</vt:lpstr>
    </vt:vector>
  </TitlesOfParts>
  <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Safe Harbor For Open Court Stipulations. New York Divorce and Family Law, the definitive site about divorce, child support and custody.</dc:title>
  <dc:subject/>
  <dc:creator>Joel Brandes</dc:creator>
  <cp:keywords/>
  <dc:description/>
  <cp:lastModifiedBy>Joel Brandes</cp:lastModifiedBy>
  <cp:revision>2</cp:revision>
  <dcterms:created xsi:type="dcterms:W3CDTF">2016-07-12T01:14:00Z</dcterms:created>
  <dcterms:modified xsi:type="dcterms:W3CDTF">2016-07-12T01:14:00Z</dcterms:modified>
</cp:coreProperties>
</file>