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C295C">
      <w:pPr>
        <w:rPr>
          <w:rFonts w:eastAsia="Times New Roman"/>
        </w:rPr>
      </w:pPr>
      <w:r>
        <w:rPr>
          <w:rFonts w:eastAsia="Times New Roman"/>
        </w:rPr>
        <w:t> </w:t>
      </w:r>
      <w:bookmarkStart w:id="0" w:name="_GoBack"/>
      <w:bookmarkEnd w:id="0"/>
    </w:p>
    <w:p w:rsidR="00000000" w:rsidRDefault="00FC295C">
      <w:pPr>
        <w:rPr>
          <w:rFonts w:eastAsia="Times New Roman"/>
        </w:rPr>
      </w:pPr>
      <w:r>
        <w:rPr>
          <w:rFonts w:eastAsia="Times New Roman"/>
        </w:rPr>
        <w:pict>
          <v:rect id="_x0000_i1025" style="width:0;height:1.5pt" o:hralign="center" o:hrstd="t" o:hr="t" fillcolor="#a0a0a0" stroked="f"/>
        </w:pict>
      </w:r>
    </w:p>
    <w:p w:rsidR="00000000" w:rsidRDefault="00FC295C">
      <w:pPr>
        <w:pStyle w:val="Heading3"/>
        <w:jc w:val="center"/>
        <w:rPr>
          <w:rFonts w:eastAsia="Times New Roman"/>
        </w:rPr>
      </w:pPr>
      <w:r>
        <w:rPr>
          <w:rFonts w:eastAsia="Times New Roman"/>
          <w:color w:val="FF00FF"/>
        </w:rPr>
        <w:t>- Maintenance Awards FAQ's -</w:t>
      </w:r>
    </w:p>
    <w:p w:rsidR="00000000" w:rsidRDefault="00FC295C">
      <w:pPr>
        <w:rPr>
          <w:rFonts w:eastAsia="Times New Roman"/>
        </w:rPr>
      </w:pPr>
      <w:r>
        <w:rPr>
          <w:rFonts w:eastAsia="Times New Roman"/>
        </w:rPr>
        <w:pict>
          <v:rect id="_x0000_i1026" style="width:0;height:1.5pt" o:hralign="center" o:hrstd="t" o:hr="t" fillcolor="#a0a0a0" stroked="f"/>
        </w:pict>
      </w:r>
    </w:p>
    <w:p w:rsidR="00000000" w:rsidRDefault="00FC295C">
      <w:pPr>
        <w:numPr>
          <w:ilvl w:val="0"/>
          <w:numId w:val="1"/>
        </w:numPr>
        <w:spacing w:before="100" w:beforeAutospacing="1" w:after="100" w:afterAutospacing="1"/>
        <w:rPr>
          <w:rFonts w:eastAsia="Times New Roman"/>
        </w:rPr>
      </w:pPr>
      <w:r>
        <w:rPr>
          <w:rFonts w:eastAsia="Times New Roman"/>
        </w:rPr>
        <w:t>What is Maintenance?</w:t>
      </w:r>
    </w:p>
    <w:p w:rsidR="00000000" w:rsidRDefault="00FC295C">
      <w:pPr>
        <w:pStyle w:val="Heading4"/>
        <w:ind w:left="720"/>
        <w:divId w:val="80031973"/>
        <w:rPr>
          <w:rFonts w:eastAsia="Times New Roman"/>
        </w:rPr>
      </w:pPr>
      <w:r>
        <w:rPr>
          <w:rFonts w:eastAsia="Times New Roman"/>
        </w:rPr>
        <w:t>"Maintenance" is defined as payments having regard for the standard of living of the parties established during the marriage, which m</w:t>
      </w:r>
      <w:r>
        <w:rPr>
          <w:rFonts w:eastAsia="Times New Roman"/>
        </w:rPr>
        <w:t xml:space="preserve">ay be: </w:t>
      </w:r>
    </w:p>
    <w:p w:rsidR="00000000" w:rsidRDefault="00FC295C">
      <w:pPr>
        <w:numPr>
          <w:ilvl w:val="1"/>
          <w:numId w:val="1"/>
        </w:numPr>
        <w:spacing w:before="100" w:beforeAutospacing="1" w:after="100" w:afterAutospacing="1"/>
        <w:divId w:val="80031973"/>
        <w:rPr>
          <w:rFonts w:eastAsia="Times New Roman"/>
        </w:rPr>
      </w:pPr>
      <w:r>
        <w:rPr>
          <w:rFonts w:eastAsia="Times New Roman"/>
        </w:rPr>
        <w:t xml:space="preserve">at fixed intervals, </w:t>
      </w:r>
    </w:p>
    <w:p w:rsidR="00000000" w:rsidRDefault="00FC295C">
      <w:pPr>
        <w:numPr>
          <w:ilvl w:val="1"/>
          <w:numId w:val="1"/>
        </w:numPr>
        <w:spacing w:before="100" w:beforeAutospacing="1" w:after="100" w:afterAutospacing="1"/>
        <w:divId w:val="80031973"/>
        <w:rPr>
          <w:rFonts w:eastAsia="Times New Roman"/>
        </w:rPr>
      </w:pPr>
      <w:r>
        <w:rPr>
          <w:rFonts w:eastAsia="Times New Roman"/>
        </w:rPr>
        <w:t xml:space="preserve">for a definite or indefinite time, </w:t>
      </w:r>
    </w:p>
    <w:p w:rsidR="00000000" w:rsidRDefault="00FC295C">
      <w:pPr>
        <w:numPr>
          <w:ilvl w:val="1"/>
          <w:numId w:val="1"/>
        </w:numPr>
        <w:spacing w:before="100" w:beforeAutospacing="1" w:after="100" w:afterAutospacing="1"/>
        <w:divId w:val="80031973"/>
        <w:rPr>
          <w:rFonts w:eastAsia="Times New Roman"/>
        </w:rPr>
      </w:pPr>
      <w:r>
        <w:rPr>
          <w:rFonts w:eastAsia="Times New Roman"/>
        </w:rPr>
        <w:t xml:space="preserve">which terminates upon the death of either party, upon the recipient's valid or invalid marriage, or upon modification upon habitually living with someone else and holding him/her out as your </w:t>
      </w:r>
      <w:r>
        <w:rPr>
          <w:rFonts w:eastAsia="Times New Roman"/>
        </w:rPr>
        <w:t xml:space="preserve">spouse. </w:t>
      </w:r>
    </w:p>
    <w:p w:rsidR="00000000" w:rsidRDefault="00FC295C">
      <w:pPr>
        <w:numPr>
          <w:ilvl w:val="0"/>
          <w:numId w:val="1"/>
        </w:numPr>
        <w:spacing w:before="100" w:beforeAutospacing="1" w:after="100" w:afterAutospacing="1"/>
        <w:rPr>
          <w:rFonts w:eastAsia="Times New Roman"/>
        </w:rPr>
      </w:pPr>
      <w:r>
        <w:rPr>
          <w:rFonts w:eastAsia="Times New Roman"/>
        </w:rPr>
        <w:t>How is Maintenance Calculated?</w:t>
      </w:r>
    </w:p>
    <w:p w:rsidR="00000000" w:rsidRDefault="00FC295C">
      <w:pPr>
        <w:pStyle w:val="Heading4"/>
        <w:ind w:left="720"/>
        <w:divId w:val="1437091821"/>
        <w:rPr>
          <w:rFonts w:eastAsia="Times New Roman"/>
        </w:rPr>
      </w:pPr>
      <w:r>
        <w:rPr>
          <w:rFonts w:eastAsia="Times New Roman"/>
        </w:rPr>
        <w:t>The Court must consider the standard of living of the parties that was established during marriage, the circumstances of the case and of the parties, whether the party who is getting the award lacks sufficient proper</w:t>
      </w:r>
      <w:r>
        <w:rPr>
          <w:rFonts w:eastAsia="Times New Roman"/>
        </w:rPr>
        <w:t xml:space="preserve">ty and income to provide for his/her reasonable needs and whether the party paying the maintenance has sufficient property and income to provide for the others reasonable needs. </w:t>
      </w:r>
    </w:p>
    <w:p w:rsidR="00000000" w:rsidRDefault="00FC295C">
      <w:pPr>
        <w:pStyle w:val="NormalWeb"/>
        <w:ind w:left="720"/>
        <w:divId w:val="1437091821"/>
      </w:pPr>
      <w:r>
        <w:t xml:space="preserve">Factors which must be considered in determining amount and duration are: </w:t>
      </w:r>
    </w:p>
    <w:p w:rsidR="00000000" w:rsidRDefault="00FC295C">
      <w:pPr>
        <w:ind w:left="720"/>
        <w:divId w:val="1437091821"/>
        <w:rPr>
          <w:rFonts w:eastAsia="Times New Roman"/>
        </w:rPr>
      </w:pPr>
      <w:r>
        <w:rPr>
          <w:rFonts w:eastAsia="Times New Roman"/>
        </w:rPr>
        <w:t> </w:t>
      </w:r>
    </w:p>
    <w:p w:rsidR="00000000" w:rsidRDefault="00FC295C">
      <w:pPr>
        <w:ind w:left="720"/>
        <w:divId w:val="1437091821"/>
        <w:rPr>
          <w:rFonts w:eastAsia="Times New Roman"/>
        </w:rPr>
      </w:pPr>
      <w:r>
        <w:rPr>
          <w:rFonts w:eastAsia="Times New Roman"/>
        </w:rPr>
        <w:t>i</w:t>
      </w:r>
      <w:r>
        <w:rPr>
          <w:rFonts w:eastAsia="Times New Roman"/>
        </w:rPr>
        <w:t xml:space="preserve">) The income and property of the respective parties including marital property distributed; </w:t>
      </w:r>
    </w:p>
    <w:p w:rsidR="00000000" w:rsidRDefault="00FC295C">
      <w:pPr>
        <w:ind w:left="720"/>
        <w:divId w:val="1437091821"/>
        <w:rPr>
          <w:rFonts w:eastAsia="Times New Roman"/>
        </w:rPr>
      </w:pPr>
      <w:r>
        <w:rPr>
          <w:rFonts w:eastAsia="Times New Roman"/>
        </w:rPr>
        <w:t xml:space="preserve">ii) The duration of the marriage and the age and health of both parties; </w:t>
      </w:r>
    </w:p>
    <w:p w:rsidR="00000000" w:rsidRDefault="00FC295C">
      <w:pPr>
        <w:ind w:left="720"/>
        <w:divId w:val="1437091821"/>
        <w:rPr>
          <w:rFonts w:eastAsia="Times New Roman"/>
        </w:rPr>
      </w:pPr>
      <w:r>
        <w:rPr>
          <w:rFonts w:eastAsia="Times New Roman"/>
        </w:rPr>
        <w:t xml:space="preserve">iii) The present and future earning capacity of both parties; </w:t>
      </w:r>
    </w:p>
    <w:p w:rsidR="00000000" w:rsidRDefault="00FC295C">
      <w:pPr>
        <w:ind w:left="720"/>
        <w:divId w:val="1437091821"/>
        <w:rPr>
          <w:rFonts w:eastAsia="Times New Roman"/>
        </w:rPr>
      </w:pPr>
      <w:r>
        <w:rPr>
          <w:rFonts w:eastAsia="Times New Roman"/>
        </w:rPr>
        <w:t>iv) The ability of the par</w:t>
      </w:r>
      <w:r>
        <w:rPr>
          <w:rFonts w:eastAsia="Times New Roman"/>
        </w:rPr>
        <w:t xml:space="preserve">ty seeking maintenance to become self supporting and, if applicable, the period of time and training necessary therefor; </w:t>
      </w:r>
    </w:p>
    <w:p w:rsidR="00000000" w:rsidRDefault="00FC295C">
      <w:pPr>
        <w:ind w:left="720"/>
        <w:divId w:val="1437091821"/>
        <w:rPr>
          <w:rFonts w:eastAsia="Times New Roman"/>
        </w:rPr>
      </w:pPr>
      <w:r>
        <w:rPr>
          <w:rFonts w:eastAsia="Times New Roman"/>
        </w:rPr>
        <w:t>v) Reduced or lost lifetime earning capacity of the party seeking maintenance as a result of having foregone or delayed education, tra</w:t>
      </w:r>
      <w:r>
        <w:rPr>
          <w:rFonts w:eastAsia="Times New Roman"/>
        </w:rPr>
        <w:t xml:space="preserve">ining, employment, or career opportunities during the marriage; </w:t>
      </w:r>
    </w:p>
    <w:p w:rsidR="00000000" w:rsidRDefault="00FC295C">
      <w:pPr>
        <w:ind w:left="720"/>
        <w:divId w:val="1437091821"/>
        <w:rPr>
          <w:rFonts w:eastAsia="Times New Roman"/>
        </w:rPr>
      </w:pPr>
      <w:r>
        <w:rPr>
          <w:rFonts w:eastAsia="Times New Roman"/>
        </w:rPr>
        <w:t xml:space="preserve">vi) The presence of children of the marriage in the respective homes of the parties; </w:t>
      </w:r>
    </w:p>
    <w:p w:rsidR="00000000" w:rsidRDefault="00FC295C">
      <w:pPr>
        <w:ind w:left="720"/>
        <w:divId w:val="1437091821"/>
        <w:rPr>
          <w:rFonts w:eastAsia="Times New Roman"/>
        </w:rPr>
      </w:pPr>
      <w:r>
        <w:rPr>
          <w:rFonts w:eastAsia="Times New Roman"/>
        </w:rPr>
        <w:t xml:space="preserve">vii) The tax consequences to each party; </w:t>
      </w:r>
    </w:p>
    <w:p w:rsidR="00000000" w:rsidRDefault="00FC295C">
      <w:pPr>
        <w:ind w:left="720"/>
        <w:divId w:val="1437091821"/>
        <w:rPr>
          <w:rFonts w:eastAsia="Times New Roman"/>
        </w:rPr>
      </w:pPr>
      <w:r>
        <w:rPr>
          <w:rFonts w:eastAsia="Times New Roman"/>
        </w:rPr>
        <w:t>viii) Contributions and services of the party seeking maintenan</w:t>
      </w:r>
      <w:r>
        <w:rPr>
          <w:rFonts w:eastAsia="Times New Roman"/>
        </w:rPr>
        <w:t xml:space="preserve">ce as a spouse, parent, wage earner and homemaker, and to the career or career potential of the other party; </w:t>
      </w:r>
    </w:p>
    <w:p w:rsidR="00000000" w:rsidRDefault="00FC295C">
      <w:pPr>
        <w:ind w:left="720"/>
        <w:divId w:val="1437091821"/>
        <w:rPr>
          <w:rFonts w:eastAsia="Times New Roman"/>
        </w:rPr>
      </w:pPr>
      <w:r>
        <w:rPr>
          <w:rFonts w:eastAsia="Times New Roman"/>
        </w:rPr>
        <w:t xml:space="preserve">ix) The wasteful dissipation of marital property by either spouse; </w:t>
      </w:r>
    </w:p>
    <w:p w:rsidR="00000000" w:rsidRDefault="00FC295C">
      <w:pPr>
        <w:ind w:left="720"/>
        <w:divId w:val="1437091821"/>
        <w:rPr>
          <w:rFonts w:eastAsia="Times New Roman"/>
        </w:rPr>
      </w:pPr>
      <w:r>
        <w:rPr>
          <w:rFonts w:eastAsia="Times New Roman"/>
        </w:rPr>
        <w:lastRenderedPageBreak/>
        <w:t>x) Any transfer or encumbrance made in contemplation of a matrimonial action w</w:t>
      </w:r>
      <w:r>
        <w:rPr>
          <w:rFonts w:eastAsia="Times New Roman"/>
        </w:rPr>
        <w:t xml:space="preserve">ithout fair consideration; and </w:t>
      </w:r>
    </w:p>
    <w:p w:rsidR="00000000" w:rsidRDefault="00FC295C">
      <w:pPr>
        <w:ind w:left="720"/>
        <w:divId w:val="1437091821"/>
        <w:rPr>
          <w:rFonts w:eastAsia="Times New Roman"/>
        </w:rPr>
      </w:pPr>
      <w:r>
        <w:rPr>
          <w:rFonts w:eastAsia="Times New Roman"/>
        </w:rPr>
        <w:t xml:space="preserve">xi) Any other factor which the Court shall expressly find to be just and proper. </w:t>
      </w:r>
    </w:p>
    <w:p w:rsidR="00000000" w:rsidRDefault="00FC295C">
      <w:pPr>
        <w:numPr>
          <w:ilvl w:val="0"/>
          <w:numId w:val="1"/>
        </w:numPr>
        <w:spacing w:before="100" w:beforeAutospacing="1" w:after="100" w:afterAutospacing="1"/>
        <w:rPr>
          <w:rFonts w:eastAsia="Times New Roman"/>
        </w:rPr>
      </w:pPr>
      <w:r>
        <w:rPr>
          <w:rFonts w:eastAsia="Times New Roman"/>
        </w:rPr>
        <w:t>Do I get more maintenance or equitable distribution if my spouse committed adultery or committed cruel and inhuman treatment?</w:t>
      </w:r>
    </w:p>
    <w:p w:rsidR="00000000" w:rsidRDefault="00FC295C">
      <w:pPr>
        <w:pStyle w:val="Heading4"/>
        <w:ind w:left="720"/>
        <w:divId w:val="1622036392"/>
        <w:rPr>
          <w:rFonts w:eastAsia="Times New Roman"/>
        </w:rPr>
      </w:pPr>
      <w:r>
        <w:rPr>
          <w:rFonts w:eastAsia="Times New Roman"/>
        </w:rPr>
        <w:t xml:space="preserve">No. But you may get less maintenance if you committed adultery or cruel and inhuman treatment </w:t>
      </w:r>
    </w:p>
    <w:p w:rsidR="00000000" w:rsidRDefault="00FC295C">
      <w:pPr>
        <w:pStyle w:val="NormalWeb"/>
        <w:ind w:left="720"/>
        <w:divId w:val="1622036392"/>
      </w:pPr>
      <w:r>
        <w:t>It depends on what part of the state the action is brought. The role of marital fault is largely irrelevant with regard to the distribution of marital property a</w:t>
      </w:r>
      <w:r>
        <w:t>nd probably with regard to maintenance. The statutory factors for the distribution of marital property and for setting the amount and duration of maintenance make no reference to marital fault. However, there is a catchall factor which permits the court to</w:t>
      </w:r>
      <w:r>
        <w:t xml:space="preserve"> consider "any other factor which the court shall expressly find to be just and proper". </w:t>
      </w:r>
    </w:p>
    <w:p w:rsidR="00000000" w:rsidRDefault="00FC295C">
      <w:pPr>
        <w:pStyle w:val="NormalWeb"/>
        <w:ind w:left="720"/>
        <w:divId w:val="1622036392"/>
      </w:pPr>
      <w:r>
        <w:t>The rule is that marital fault ordinarily is irrelevant under the Equitable Distribution Law and should be considered only when it is so uncivilized or egregious that</w:t>
      </w:r>
      <w:r>
        <w:t xml:space="preserve"> it shocks the conscience of the court. Even where the misconduct is egregious, it is but one factor among many which must be considered by the court. Examples given of "egregious" misconduct are (1) the dissipation of marital assets by a gambler husband, </w:t>
      </w:r>
      <w:r>
        <w:t>and (2) placing a contract to have a spouse murdered. The courts in the Third Judicial Department [which includes the Albany area upstate New York] have rejected this rule when it comes to the role of marital fault with regard to maintenance and consider e</w:t>
      </w:r>
      <w:r>
        <w:t xml:space="preserve">gregious marital fault in fixing maintenance awards. </w:t>
      </w:r>
    </w:p>
    <w:p w:rsidR="00000000" w:rsidRDefault="00FC295C">
      <w:pPr>
        <w:numPr>
          <w:ilvl w:val="0"/>
          <w:numId w:val="1"/>
        </w:numPr>
        <w:spacing w:before="100" w:beforeAutospacing="1" w:after="100" w:afterAutospacing="1"/>
        <w:rPr>
          <w:rFonts w:eastAsia="Times New Roman"/>
        </w:rPr>
      </w:pPr>
      <w:r>
        <w:rPr>
          <w:rFonts w:eastAsia="Times New Roman"/>
        </w:rPr>
        <w:t>What is durational maintenance?</w:t>
      </w:r>
    </w:p>
    <w:p w:rsidR="00000000" w:rsidRDefault="00FC295C">
      <w:pPr>
        <w:pStyle w:val="Heading4"/>
        <w:ind w:left="720"/>
        <w:divId w:val="1893342957"/>
        <w:rPr>
          <w:rFonts w:eastAsia="Times New Roman"/>
        </w:rPr>
      </w:pPr>
      <w:r>
        <w:rPr>
          <w:rFonts w:eastAsia="Times New Roman"/>
        </w:rPr>
        <w:t xml:space="preserve">It is maintenance for a fixed period of time. </w:t>
      </w:r>
    </w:p>
    <w:p w:rsidR="00000000" w:rsidRDefault="00FC295C">
      <w:pPr>
        <w:numPr>
          <w:ilvl w:val="0"/>
          <w:numId w:val="1"/>
        </w:numPr>
        <w:spacing w:before="100" w:beforeAutospacing="1" w:after="100" w:afterAutospacing="1"/>
        <w:rPr>
          <w:rFonts w:eastAsia="Times New Roman"/>
        </w:rPr>
      </w:pPr>
      <w:r>
        <w:rPr>
          <w:rFonts w:eastAsia="Times New Roman"/>
        </w:rPr>
        <w:t>What is "permanent", "lifetime" or "non-durational" maintenance?</w:t>
      </w:r>
    </w:p>
    <w:p w:rsidR="00000000" w:rsidRDefault="00FC295C">
      <w:pPr>
        <w:pStyle w:val="Heading4"/>
        <w:ind w:left="720"/>
        <w:divId w:val="192154894"/>
        <w:rPr>
          <w:rFonts w:eastAsia="Times New Roman"/>
        </w:rPr>
      </w:pPr>
      <w:r>
        <w:rPr>
          <w:rFonts w:eastAsia="Times New Roman"/>
        </w:rPr>
        <w:t>It is maintenance for a period of time that is not fixed b</w:t>
      </w:r>
      <w:r>
        <w:rPr>
          <w:rFonts w:eastAsia="Times New Roman"/>
        </w:rPr>
        <w:t xml:space="preserve">y the court. </w:t>
      </w:r>
    </w:p>
    <w:p w:rsidR="00000000" w:rsidRDefault="00FC295C">
      <w:pPr>
        <w:numPr>
          <w:ilvl w:val="0"/>
          <w:numId w:val="1"/>
        </w:numPr>
        <w:spacing w:before="100" w:beforeAutospacing="1" w:after="100" w:afterAutospacing="1"/>
        <w:rPr>
          <w:rFonts w:eastAsia="Times New Roman"/>
        </w:rPr>
      </w:pPr>
      <w:r>
        <w:rPr>
          <w:rFonts w:eastAsia="Times New Roman"/>
        </w:rPr>
        <w:t>Can a man be awarded maintenance?</w:t>
      </w:r>
    </w:p>
    <w:p w:rsidR="00000000" w:rsidRDefault="00FC295C">
      <w:pPr>
        <w:pStyle w:val="Heading4"/>
        <w:ind w:left="720"/>
        <w:divId w:val="1572081589"/>
        <w:rPr>
          <w:rFonts w:eastAsia="Times New Roman"/>
        </w:rPr>
      </w:pPr>
      <w:r>
        <w:rPr>
          <w:rFonts w:eastAsia="Times New Roman"/>
        </w:rPr>
        <w:t xml:space="preserve">Yes. New York support laws are "gender-neutral". </w:t>
      </w:r>
    </w:p>
    <w:p w:rsidR="00000000" w:rsidRDefault="00FC295C">
      <w:pPr>
        <w:numPr>
          <w:ilvl w:val="0"/>
          <w:numId w:val="1"/>
        </w:numPr>
        <w:spacing w:before="100" w:beforeAutospacing="1" w:after="100" w:afterAutospacing="1"/>
        <w:rPr>
          <w:rFonts w:eastAsia="Times New Roman"/>
        </w:rPr>
      </w:pPr>
      <w:r>
        <w:rPr>
          <w:rFonts w:eastAsia="Times New Roman"/>
        </w:rPr>
        <w:t>Will permanent maintenance end if I remarry?</w:t>
      </w:r>
    </w:p>
    <w:p w:rsidR="00000000" w:rsidRDefault="00FC295C">
      <w:pPr>
        <w:pStyle w:val="Heading4"/>
        <w:ind w:left="720"/>
        <w:divId w:val="774204028"/>
        <w:rPr>
          <w:rFonts w:eastAsia="Times New Roman"/>
        </w:rPr>
      </w:pPr>
      <w:r>
        <w:rPr>
          <w:rFonts w:eastAsia="Times New Roman"/>
        </w:rPr>
        <w:t xml:space="preserve">Yes. </w:t>
      </w:r>
    </w:p>
    <w:p w:rsidR="00000000" w:rsidRDefault="00FC295C">
      <w:pPr>
        <w:numPr>
          <w:ilvl w:val="0"/>
          <w:numId w:val="1"/>
        </w:numPr>
        <w:spacing w:before="100" w:beforeAutospacing="1" w:after="100" w:afterAutospacing="1"/>
        <w:rPr>
          <w:rFonts w:eastAsia="Times New Roman"/>
        </w:rPr>
      </w:pPr>
      <w:r>
        <w:rPr>
          <w:rFonts w:eastAsia="Times New Roman"/>
        </w:rPr>
        <w:lastRenderedPageBreak/>
        <w:t>Will durational maintenance end if I remarry?</w:t>
      </w:r>
    </w:p>
    <w:p w:rsidR="00000000" w:rsidRDefault="00FC295C">
      <w:pPr>
        <w:pStyle w:val="Heading4"/>
        <w:ind w:left="720"/>
        <w:divId w:val="1369260322"/>
        <w:rPr>
          <w:rFonts w:eastAsia="Times New Roman"/>
        </w:rPr>
      </w:pPr>
      <w:r>
        <w:rPr>
          <w:rFonts w:eastAsia="Times New Roman"/>
        </w:rPr>
        <w:t xml:space="preserve">Yes. </w:t>
      </w:r>
    </w:p>
    <w:p w:rsidR="00000000" w:rsidRDefault="00FC295C">
      <w:pPr>
        <w:numPr>
          <w:ilvl w:val="0"/>
          <w:numId w:val="1"/>
        </w:numPr>
        <w:spacing w:before="100" w:beforeAutospacing="1" w:after="100" w:afterAutospacing="1"/>
        <w:rPr>
          <w:rFonts w:eastAsia="Times New Roman"/>
        </w:rPr>
      </w:pPr>
      <w:r>
        <w:rPr>
          <w:rFonts w:eastAsia="Times New Roman"/>
        </w:rPr>
        <w:t>What factors do the courts consider in determining whet</w:t>
      </w:r>
      <w:r>
        <w:rPr>
          <w:rFonts w:eastAsia="Times New Roman"/>
        </w:rPr>
        <w:t xml:space="preserve">her to award durational or permanent maintenance? </w:t>
      </w:r>
    </w:p>
    <w:p w:rsidR="00000000" w:rsidRDefault="00FC295C">
      <w:pPr>
        <w:pStyle w:val="Heading4"/>
        <w:ind w:left="720"/>
        <w:divId w:val="1207985691"/>
        <w:rPr>
          <w:rFonts w:eastAsia="Times New Roman"/>
        </w:rPr>
      </w:pPr>
      <w:r>
        <w:rPr>
          <w:rFonts w:eastAsia="Times New Roman"/>
        </w:rPr>
        <w:t>Durational maintenance is more commonly awarded where the spouse seeking support is relatively young and healthy and is not required to care for young children. The function of durational maintenance is to</w:t>
      </w:r>
      <w:r>
        <w:rPr>
          <w:rFonts w:eastAsia="Times New Roman"/>
        </w:rPr>
        <w:t xml:space="preserve"> allow the recipient spouse an opportunity to achieve independence. </w:t>
      </w:r>
    </w:p>
    <w:p w:rsidR="00000000" w:rsidRDefault="00FC295C">
      <w:pPr>
        <w:pStyle w:val="NormalWeb"/>
        <w:ind w:left="720"/>
        <w:divId w:val="1207985691"/>
      </w:pPr>
      <w:r>
        <w:t>Where a marriage is of short duration and especially if the parties have no children, New York courts are disinclined to grant permanent maintenance. Unless the applicant establishes depe</w:t>
      </w:r>
      <w:r>
        <w:t xml:space="preserve">ndency, the prevailing policy is to award rehabilitative maintenance, if any, is awarded at all. </w:t>
      </w:r>
    </w:p>
    <w:p w:rsidR="00000000" w:rsidRDefault="00FC295C">
      <w:pPr>
        <w:pStyle w:val="NormalWeb"/>
        <w:ind w:left="720"/>
        <w:divId w:val="1207985691"/>
      </w:pPr>
      <w:r>
        <w:t xml:space="preserve">Where permanent maintenance has been awarded, the recipient spouse has almost invariably been older and often in impaired health. Furthermore, the supporting </w:t>
      </w:r>
      <w:r>
        <w:t xml:space="preserve">spouse was in a far better financial condition. </w:t>
      </w:r>
    </w:p>
    <w:p w:rsidR="00000000" w:rsidRDefault="00FC295C">
      <w:pPr>
        <w:pStyle w:val="NormalWeb"/>
        <w:ind w:left="720"/>
        <w:divId w:val="1207985691"/>
      </w:pPr>
      <w:r>
        <w:t>New York courts in awarding maintenance are very much concerned about the length of the marriage, the ages, health and earning capacity of the respective parties. The duration of maintenance is most apt to b</w:t>
      </w:r>
      <w:r>
        <w:t>e permanent where it is a long-term marriage, and durational where it is a short-term marriage. The Legislature intended that the pre-divorce standard of living be a mandatory factor for the courts consideration in determining the amount and duration of th</w:t>
      </w:r>
      <w:r>
        <w:t xml:space="preserve">e maintenance award, and that the court must consider the wife's pre-divorce standard of living. </w:t>
      </w:r>
    </w:p>
    <w:p w:rsidR="00000000" w:rsidRDefault="00FC295C">
      <w:pPr>
        <w:pStyle w:val="NormalWeb"/>
        <w:ind w:left="720"/>
        <w:divId w:val="1207985691"/>
      </w:pPr>
      <w:r>
        <w:t>Correspondingly, a pre-divorce "high life" standard of living does not guarantee an award of lifetime maintenance. The courts must consider the payee spouse's</w:t>
      </w:r>
      <w:r>
        <w:t xml:space="preserve"> reasonable needs and pre-divorce standard of living in the context of the other enumerated statutory factors, and then, in their discretion, fashion a fair and equitable maintenance award. </w:t>
      </w:r>
    </w:p>
    <w:p w:rsidR="00000000" w:rsidRDefault="00FC295C">
      <w:pPr>
        <w:numPr>
          <w:ilvl w:val="0"/>
          <w:numId w:val="1"/>
        </w:numPr>
        <w:spacing w:before="100" w:beforeAutospacing="1" w:after="100" w:afterAutospacing="1"/>
        <w:rPr>
          <w:rFonts w:eastAsia="Times New Roman"/>
        </w:rPr>
      </w:pPr>
      <w:r>
        <w:rPr>
          <w:rFonts w:eastAsia="Times New Roman"/>
        </w:rPr>
        <w:t>What is considered a lengthy marriage?</w:t>
      </w:r>
    </w:p>
    <w:p w:rsidR="00000000" w:rsidRDefault="00FC295C">
      <w:pPr>
        <w:pStyle w:val="Heading4"/>
        <w:ind w:left="720"/>
        <w:divId w:val="984361221"/>
        <w:rPr>
          <w:rFonts w:eastAsia="Times New Roman"/>
        </w:rPr>
      </w:pPr>
      <w:r>
        <w:rPr>
          <w:rFonts w:eastAsia="Times New Roman"/>
        </w:rPr>
        <w:t>No authoritative date line</w:t>
      </w:r>
      <w:r>
        <w:rPr>
          <w:rFonts w:eastAsia="Times New Roman"/>
        </w:rPr>
        <w:t xml:space="preserve"> has been drawn between short-term and long-term marriages. A marriage of seven years' duration has been described as short term, and perhaps any marriage of less than 10 years fits that category. Certainly if the marriage endured for 18, 20 years or more,</w:t>
      </w:r>
      <w:r>
        <w:rPr>
          <w:rFonts w:eastAsia="Times New Roman"/>
        </w:rPr>
        <w:t xml:space="preserve"> it will be regarded as a long-term marriage, especially if there are children or is a dependency.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944976"/>
    <w:multiLevelType w:val="multilevel"/>
    <w:tmpl w:val="CBB211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C295C"/>
    <w:rsid w:val="00FC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0F11A4-07F8-4F76-8DFA-1D3E883E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319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54894">
      <w:blockQuote w:val="1"/>
      <w:marLeft w:val="720"/>
      <w:marRight w:val="720"/>
      <w:marTop w:val="100"/>
      <w:marBottom w:val="100"/>
      <w:divBdr>
        <w:top w:val="none" w:sz="0" w:space="0" w:color="auto"/>
        <w:left w:val="none" w:sz="0" w:space="0" w:color="auto"/>
        <w:bottom w:val="none" w:sz="0" w:space="0" w:color="auto"/>
        <w:right w:val="none" w:sz="0" w:space="0" w:color="auto"/>
      </w:divBdr>
    </w:div>
    <w:div w:id="774204028">
      <w:blockQuote w:val="1"/>
      <w:marLeft w:val="720"/>
      <w:marRight w:val="720"/>
      <w:marTop w:val="100"/>
      <w:marBottom w:val="100"/>
      <w:divBdr>
        <w:top w:val="none" w:sz="0" w:space="0" w:color="auto"/>
        <w:left w:val="none" w:sz="0" w:space="0" w:color="auto"/>
        <w:bottom w:val="none" w:sz="0" w:space="0" w:color="auto"/>
        <w:right w:val="none" w:sz="0" w:space="0" w:color="auto"/>
      </w:divBdr>
    </w:div>
    <w:div w:id="98436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985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260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09182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081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0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342957">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Maintenance. New York Divorce and Family Law, the definitive site about divorce, child support and custody.</vt:lpstr>
    </vt:vector>
  </TitlesOfParts>
  <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New York Divorce and Family Law, the definitive site about divorce, child support and custody.</dc:title>
  <dc:subject/>
  <dc:creator>Joel Brandes</dc:creator>
  <cp:keywords/>
  <dc:description/>
  <cp:lastModifiedBy>Joel Brandes</cp:lastModifiedBy>
  <cp:revision>2</cp:revision>
  <dcterms:created xsi:type="dcterms:W3CDTF">2016-07-15T11:24:00Z</dcterms:created>
  <dcterms:modified xsi:type="dcterms:W3CDTF">2016-07-15T11:24:00Z</dcterms:modified>
</cp:coreProperties>
</file>