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537164">
      <w:pPr>
        <w:rPr>
          <w:rFonts w:eastAsia="Times New Roman"/>
        </w:rPr>
      </w:pPr>
      <w:r>
        <w:rPr>
          <w:rFonts w:eastAsia="Times New Roman"/>
        </w:rPr>
        <w:t> </w:t>
      </w:r>
      <w:bookmarkStart w:id="0" w:name="_GoBack"/>
      <w:bookmarkEnd w:id="0"/>
    </w:p>
    <w:p w:rsidR="00000000" w:rsidRDefault="00537164">
      <w:pPr>
        <w:rPr>
          <w:rFonts w:eastAsia="Times New Roman"/>
        </w:rPr>
      </w:pPr>
      <w:r>
        <w:rPr>
          <w:rFonts w:eastAsia="Times New Roman"/>
        </w:rPr>
        <w:pict>
          <v:rect id="_x0000_i1025" style="width:0;height:1.5pt" o:hralign="center" o:hrstd="t" o:hr="t" fillcolor="#a0a0a0" stroked="f"/>
        </w:pict>
      </w:r>
    </w:p>
    <w:p w:rsidR="00000000" w:rsidRDefault="00537164">
      <w:pPr>
        <w:pStyle w:val="NormalWeb"/>
      </w:pPr>
      <w:r>
        <w:t> </w:t>
      </w:r>
    </w:p>
    <w:p w:rsidR="00000000" w:rsidRDefault="00537164">
      <w:pPr>
        <w:pStyle w:val="NormalWeb"/>
        <w:divId w:val="1299340109"/>
      </w:pPr>
      <w:r>
        <w:t>LAW AND THE FAMILY</w:t>
      </w:r>
    </w:p>
    <w:p w:rsidR="00000000" w:rsidRDefault="00537164">
      <w:pPr>
        <w:pStyle w:val="Heading2"/>
        <w:divId w:val="1299340109"/>
        <w:rPr>
          <w:rFonts w:eastAsia="Times New Roman"/>
        </w:rPr>
      </w:pPr>
      <w:r>
        <w:rPr>
          <w:rFonts w:eastAsia="Times New Roman"/>
        </w:rPr>
        <w:t>Judging the 'Best Interests of the Child'</w:t>
      </w:r>
    </w:p>
    <w:p w:rsidR="00000000" w:rsidRDefault="00537164">
      <w:pPr>
        <w:pStyle w:val="NormalWeb"/>
        <w:divId w:val="1299340109"/>
      </w:pPr>
      <w:r>
        <w:t>Joel R. Brandes</w:t>
      </w:r>
    </w:p>
    <w:p w:rsidR="00000000" w:rsidRDefault="00537164">
      <w:pPr>
        <w:pStyle w:val="NormalWeb"/>
        <w:divId w:val="1299340109"/>
      </w:pPr>
      <w:hyperlink r:id="rId4" w:history="1">
        <w:r>
          <w:rPr>
            <w:rStyle w:val="Hyperlink"/>
          </w:rPr>
          <w:t>New York Law Journal</w:t>
        </w:r>
      </w:hyperlink>
      <w:r>
        <w:br/>
        <w:t>February 23, 1999</w:t>
      </w:r>
    </w:p>
    <w:p w:rsidR="00000000" w:rsidRDefault="00537164">
      <w:pPr>
        <w:pStyle w:val="NormalWeb"/>
        <w:divId w:val="1299340109"/>
      </w:pPr>
      <w:r>
        <w:rPr>
          <w:sz w:val="72"/>
          <w:szCs w:val="72"/>
        </w:rPr>
        <w:t>I</w:t>
      </w:r>
      <w:r>
        <w:t xml:space="preserve">N CUSTODY disputes the court is bound to make its determination </w:t>
      </w:r>
      <w:r>
        <w:t>based solely upon what is in the "best interests of the children." </w:t>
      </w:r>
      <w:hyperlink w:anchor="bottom" w:history="1">
        <w:r>
          <w:rPr>
            <w:rStyle w:val="Hyperlink"/>
          </w:rPr>
          <w:t>1</w:t>
        </w:r>
      </w:hyperlink>
      <w:r>
        <w:t xml:space="preserve"> This rule is fairly recent, as it did not exist at the beginning of this century. Early in the 20th century, "parental fitness" was the major issue in custody</w:t>
      </w:r>
      <w:r>
        <w:t xml:space="preserve"> disputes. Marital fault was a key factor and the "gross immorality" of the parent was a basis for denying that parent custody. Until the 1920's, an adulterous mother usually forfeited her right to custody</w:t>
      </w:r>
      <w:r>
        <w:t>.</w:t>
      </w:r>
    </w:p>
    <w:p w:rsidR="00000000" w:rsidRDefault="00537164">
      <w:pPr>
        <w:ind w:left="720"/>
        <w:divId w:val="1299340109"/>
        <w:rPr>
          <w:rFonts w:eastAsia="Times New Roman"/>
        </w:rPr>
      </w:pPr>
      <w:r>
        <w:rPr>
          <w:rFonts w:eastAsia="Times New Roman"/>
        </w:rPr>
        <w:t>Beginning in the 1920's, custody of a child of "t</w:t>
      </w:r>
      <w:r>
        <w:rPr>
          <w:rFonts w:eastAsia="Times New Roman"/>
        </w:rPr>
        <w:t>ender years" was almost automatically awarded to the mother unless she was grossly immoral. </w:t>
      </w:r>
      <w:hyperlink w:anchor="bottom" w:history="1">
        <w:r>
          <w:rPr>
            <w:rStyle w:val="Hyperlink"/>
            <w:rFonts w:eastAsia="Times New Roman"/>
          </w:rPr>
          <w:t>2</w:t>
        </w:r>
      </w:hyperlink>
      <w:r>
        <w:rPr>
          <w:rFonts w:eastAsia="Times New Roman"/>
        </w:rPr>
        <w:t xml:space="preserve"> Adultery might be forgiven, as long as the mother was not regarded as a "sex experimenter," too promiscuous, or to have abandoned the</w:t>
      </w:r>
      <w:r>
        <w:rPr>
          <w:rFonts w:eastAsia="Times New Roman"/>
        </w:rPr>
        <w:t xml:space="preserve"> child.</w:t>
      </w:r>
      <w:hyperlink w:anchor="bottom" w:history="1">
        <w:r>
          <w:rPr>
            <w:rStyle w:val="Hyperlink"/>
            <w:rFonts w:eastAsia="Times New Roman"/>
          </w:rPr>
          <w:t>3</w:t>
        </w:r>
      </w:hyperlink>
      <w:r>
        <w:rPr>
          <w:rFonts w:eastAsia="Times New Roman"/>
        </w:rPr>
        <w:t xml:space="preserve"> Sexual misconduct of the mother, however, when coupled with other factors, such as the use of improper language, unseemly conduct in the presence of the children, and neglect or abandonment could lead to a finding of m</w:t>
      </w:r>
      <w:r>
        <w:rPr>
          <w:rFonts w:eastAsia="Times New Roman"/>
        </w:rPr>
        <w:t>aternal unfitness.</w:t>
      </w:r>
      <w:hyperlink w:anchor="bottom" w:history="1">
        <w:r>
          <w:rPr>
            <w:rStyle w:val="Hyperlink"/>
            <w:rFonts w:eastAsia="Times New Roman"/>
          </w:rPr>
          <w:t>4</w:t>
        </w:r>
      </w:hyperlink>
    </w:p>
    <w:p w:rsidR="00000000" w:rsidRDefault="00537164">
      <w:pPr>
        <w:ind w:left="720"/>
        <w:divId w:val="1299340109"/>
        <w:rPr>
          <w:rFonts w:eastAsia="Times New Roman"/>
          <w:b/>
          <w:bCs/>
        </w:rPr>
      </w:pPr>
      <w:r>
        <w:rPr>
          <w:rFonts w:eastAsia="Times New Roman"/>
          <w:b/>
          <w:bCs/>
        </w:rPr>
        <w:t>'Tender Years' Doctrine</w:t>
      </w:r>
    </w:p>
    <w:p w:rsidR="00000000" w:rsidRDefault="00537164">
      <w:pPr>
        <w:ind w:left="720"/>
        <w:divId w:val="1299340109"/>
        <w:rPr>
          <w:rFonts w:eastAsia="Times New Roman"/>
        </w:rPr>
      </w:pPr>
      <w:r>
        <w:rPr>
          <w:rFonts w:eastAsia="Times New Roman"/>
        </w:rPr>
        <w:t>Until the late 1960's the "tender years" doctrine prevailed and custody of infants or young children almost invariably went to the mother. Regardless of the statutory language as to t</w:t>
      </w:r>
      <w:r>
        <w:rPr>
          <w:rFonts w:eastAsia="Times New Roman"/>
        </w:rPr>
        <w:t>he equality of parental rights, the mother had the advantage unless she was shown to be unfit or to have abandoned the child.</w:t>
      </w:r>
      <w:hyperlink w:anchor="bottom" w:history="1">
        <w:r>
          <w:rPr>
            <w:rStyle w:val="Hyperlink"/>
            <w:rFonts w:eastAsia="Times New Roman"/>
          </w:rPr>
          <w:t>5</w:t>
        </w:r>
      </w:hyperlink>
    </w:p>
    <w:p w:rsidR="00000000" w:rsidRDefault="00537164">
      <w:pPr>
        <w:ind w:left="720"/>
        <w:divId w:val="1299340109"/>
        <w:rPr>
          <w:rFonts w:eastAsia="Times New Roman"/>
        </w:rPr>
      </w:pPr>
      <w:r>
        <w:rPr>
          <w:rFonts w:eastAsia="Times New Roman"/>
        </w:rPr>
        <w:t>During the 1960's the child's "best interests" became the focal point, and marital misconduct became</w:t>
      </w:r>
      <w:r>
        <w:rPr>
          <w:rFonts w:eastAsia="Times New Roman"/>
        </w:rPr>
        <w:t xml:space="preserve"> less important. The "tender years" doctrine went underground and what was formerly called "meretricious behavior" had to adversely affect the children in order for the parent to be deprived of custody or visitation. </w:t>
      </w:r>
    </w:p>
    <w:p w:rsidR="00000000" w:rsidRDefault="00537164">
      <w:pPr>
        <w:ind w:left="720"/>
        <w:divId w:val="1299340109"/>
        <w:rPr>
          <w:rFonts w:eastAsia="Times New Roman"/>
        </w:rPr>
      </w:pPr>
      <w:r>
        <w:rPr>
          <w:rFonts w:eastAsia="Times New Roman"/>
        </w:rPr>
        <w:t>Domestic Relations Law §240 was enacte</w:t>
      </w:r>
      <w:r>
        <w:rPr>
          <w:rFonts w:eastAsia="Times New Roman"/>
        </w:rPr>
        <w:t xml:space="preserve">d in 1962. It purported to mandate parity between fathers and mothers with respect to child custody, </w:t>
      </w:r>
      <w:r>
        <w:rPr>
          <w:rFonts w:eastAsia="Times New Roman"/>
        </w:rPr>
        <w:lastRenderedPageBreak/>
        <w:t>and provides that neither parent has a prima facie right to child custody, which is to be determined solely by the "best interests of the child."</w:t>
      </w:r>
    </w:p>
    <w:p w:rsidR="00000000" w:rsidRDefault="00537164">
      <w:pPr>
        <w:ind w:left="720"/>
        <w:divId w:val="1299340109"/>
        <w:rPr>
          <w:rFonts w:eastAsia="Times New Roman"/>
        </w:rPr>
      </w:pPr>
      <w:r>
        <w:rPr>
          <w:rFonts w:eastAsia="Times New Roman"/>
        </w:rPr>
        <w:t>As we ent</w:t>
      </w:r>
      <w:r>
        <w:rPr>
          <w:rFonts w:eastAsia="Times New Roman"/>
        </w:rPr>
        <w:t>er the 21st century, the "best interests" of the child is the sole criterion for initial and modified custody awards. </w:t>
      </w:r>
      <w:hyperlink w:anchor="bottom" w:history="1">
        <w:r>
          <w:rPr>
            <w:rStyle w:val="Hyperlink"/>
            <w:rFonts w:eastAsia="Times New Roman"/>
          </w:rPr>
          <w:t>6</w:t>
        </w:r>
      </w:hyperlink>
      <w:r>
        <w:rPr>
          <w:rFonts w:eastAsia="Times New Roman"/>
        </w:rPr>
        <w:t xml:space="preserve"> While it is easy to state the rule, its application is much more difficult as it involves a weighing and ba</w:t>
      </w:r>
      <w:r>
        <w:rPr>
          <w:rFonts w:eastAsia="Times New Roman"/>
        </w:rPr>
        <w:t>lancing of the "totality of the circumstances."</w:t>
      </w:r>
    </w:p>
    <w:p w:rsidR="00000000" w:rsidRDefault="00537164">
      <w:pPr>
        <w:ind w:left="720"/>
        <w:divId w:val="1299340109"/>
        <w:rPr>
          <w:rFonts w:eastAsia="Times New Roman"/>
        </w:rPr>
      </w:pPr>
      <w:r>
        <w:rPr>
          <w:rFonts w:eastAsia="Times New Roman"/>
        </w:rPr>
        <w:t xml:space="preserve">In </w:t>
      </w:r>
      <w:r>
        <w:rPr>
          <w:rFonts w:eastAsia="Times New Roman"/>
          <w:i/>
          <w:iCs/>
        </w:rPr>
        <w:t>Friederwitzer</w:t>
      </w:r>
      <w:r>
        <w:rPr>
          <w:rFonts w:eastAsia="Times New Roman"/>
        </w:rPr>
        <w:t> </w:t>
      </w:r>
      <w:hyperlink w:anchor="bottom" w:history="1">
        <w:r>
          <w:rPr>
            <w:rStyle w:val="Hyperlink"/>
            <w:rFonts w:eastAsia="Times New Roman"/>
          </w:rPr>
          <w:t>7</w:t>
        </w:r>
      </w:hyperlink>
      <w:r>
        <w:rPr>
          <w:rFonts w:eastAsia="Times New Roman"/>
        </w:rPr>
        <w:t xml:space="preserve"> and </w:t>
      </w:r>
      <w:r>
        <w:rPr>
          <w:rFonts w:eastAsia="Times New Roman"/>
          <w:i/>
          <w:iCs/>
        </w:rPr>
        <w:t>Esbach</w:t>
      </w:r>
      <w:r>
        <w:rPr>
          <w:rFonts w:eastAsia="Times New Roman"/>
        </w:rPr>
        <w:t> </w:t>
      </w:r>
      <w:hyperlink w:anchor="bottom" w:history="1">
        <w:r>
          <w:rPr>
            <w:rStyle w:val="Hyperlink"/>
            <w:rFonts w:eastAsia="Times New Roman"/>
          </w:rPr>
          <w:t>8</w:t>
        </w:r>
      </w:hyperlink>
      <w:r>
        <w:rPr>
          <w:rFonts w:eastAsia="Times New Roman"/>
        </w:rPr>
        <w:t xml:space="preserve"> the Court of Appeals firmly established a "totality of the circumstances" approach to all custody determinations, indi</w:t>
      </w:r>
      <w:r>
        <w:rPr>
          <w:rFonts w:eastAsia="Times New Roman"/>
        </w:rPr>
        <w:t>cating that no one factor should be determinative in deciding what is in the best interest of the child. It held that a determination as to whether a custody award should be modified depends upon whether the "totality of the circumstances" including the ex</w:t>
      </w:r>
      <w:r>
        <w:rPr>
          <w:rFonts w:eastAsia="Times New Roman"/>
        </w:rPr>
        <w:t>istence of the prior award, warrants such a change in the best interests of the child.</w:t>
      </w:r>
    </w:p>
    <w:p w:rsidR="00000000" w:rsidRDefault="00537164">
      <w:pPr>
        <w:ind w:left="720"/>
        <w:divId w:val="1299340109"/>
        <w:rPr>
          <w:rFonts w:eastAsia="Times New Roman"/>
        </w:rPr>
      </w:pPr>
      <w:r>
        <w:rPr>
          <w:rFonts w:eastAsia="Times New Roman"/>
        </w:rPr>
        <w:t xml:space="preserve">In </w:t>
      </w:r>
      <w:r>
        <w:rPr>
          <w:rFonts w:eastAsia="Times New Roman"/>
          <w:i/>
          <w:iCs/>
        </w:rPr>
        <w:t>Freiderwitzer</w:t>
      </w:r>
      <w:r>
        <w:rPr>
          <w:rFonts w:eastAsia="Times New Roman"/>
        </w:rPr>
        <w:t>, Judge Bernard S. Meyer wrote that:</w:t>
      </w:r>
    </w:p>
    <w:p w:rsidR="00000000" w:rsidRDefault="00537164">
      <w:pPr>
        <w:pStyle w:val="NormalWeb"/>
        <w:divId w:val="2121294036"/>
      </w:pPr>
      <w:r>
        <w:t xml:space="preserve">The only absolute in the law governing custody of children is that there are no absolutes. ... Indeed, in </w:t>
      </w:r>
      <w:r>
        <w:rPr>
          <w:i/>
          <w:iCs/>
        </w:rPr>
        <w:t xml:space="preserve">Matter of </w:t>
      </w:r>
      <w:r>
        <w:rPr>
          <w:i/>
          <w:iCs/>
        </w:rPr>
        <w:t>Nehra v. Uhlar</w:t>
      </w:r>
      <w:r>
        <w:t>, we were at pains to point out many of the factors to be considered and the order of their priority. Thus, we noted that 'Paramount in child custody cases, of course, is the ultimate best interest of the child' ..., that stability is importa</w:t>
      </w:r>
      <w:r>
        <w:t>nt but the disruption of change is not necessarily determinative ..., that the desires of the child are to be considered, but can be manipulated and may not be in the child's best interests ..., that self-help through abduction by the noncustodial parent m</w:t>
      </w:r>
      <w:r>
        <w:t>ust be deterred but even that 'must, when necessary, be submerged to the paramount concern in all custody matters: the best interest of the child' ..., that the relative fitness of the respective parents as well as length of time the present custody had co</w:t>
      </w:r>
      <w:r>
        <w:t>ntinued are also to be considered ..., that 'Priority, not as an absolute but as a weighty factor, should, in the absence of extraordinary circumstances, be accorded to the first custody awarded in litigation or by voluntary agreement' ..., whereas of less</w:t>
      </w:r>
      <w:r>
        <w:t>er priority will be the abduction, elopement or other defiance of legal process as well as the preferences of the child."</w:t>
      </w:r>
      <w:hyperlink w:anchor="bottom" w:history="1">
        <w:r>
          <w:rPr>
            <w:rStyle w:val="Hyperlink"/>
          </w:rPr>
          <w:t>9</w:t>
        </w:r>
      </w:hyperlink>
    </w:p>
    <w:p w:rsidR="00000000" w:rsidRDefault="00537164">
      <w:pPr>
        <w:pStyle w:val="NormalWeb"/>
      </w:pPr>
      <w:r>
        <w:t xml:space="preserve">In </w:t>
      </w:r>
      <w:r>
        <w:rPr>
          <w:i/>
          <w:iCs/>
        </w:rPr>
        <w:t>Esbach</w:t>
      </w:r>
      <w:r>
        <w:t> </w:t>
      </w:r>
      <w:hyperlink w:anchor="bottom" w:history="1">
        <w:r>
          <w:rPr>
            <w:rStyle w:val="Hyperlink"/>
          </w:rPr>
          <w:t>10</w:t>
        </w:r>
      </w:hyperlink>
      <w:r>
        <w:t xml:space="preserve"> the Court of Appeals held that in a modification proceeding th</w:t>
      </w:r>
      <w:r>
        <w:t>e court is not bound by the existence of a prior agreement, and it has the discretion to modify custody "when the totality of circumstances, including the existence of the prior award, warrants its doing so in the best interests of the child.</w:t>
      </w:r>
      <w:r>
        <w:t>"</w:t>
      </w:r>
      <w:r>
        <w:t xml:space="preserve"> </w:t>
      </w:r>
    </w:p>
    <w:p w:rsidR="00000000" w:rsidRDefault="00537164">
      <w:pPr>
        <w:ind w:left="720"/>
        <w:rPr>
          <w:rFonts w:eastAsia="Times New Roman"/>
        </w:rPr>
      </w:pPr>
      <w:r>
        <w:rPr>
          <w:rFonts w:eastAsia="Times New Roman"/>
        </w:rPr>
        <w:t>Under the "</w:t>
      </w:r>
      <w:r>
        <w:rPr>
          <w:rFonts w:eastAsia="Times New Roman"/>
        </w:rPr>
        <w:t>totality of the circumstances" rule, no one factor is determinative in making an award of custody. Determining what is in the child's best interest requires that consideration be given to many factors, such as:</w:t>
      </w:r>
    </w:p>
    <w:p w:rsidR="00000000" w:rsidRDefault="00537164">
      <w:pPr>
        <w:pStyle w:val="NormalWeb"/>
      </w:pPr>
      <w:r>
        <w:t> The effect of a separation of siblings</w:t>
      </w:r>
      <w:r>
        <w:t>;</w:t>
      </w:r>
    </w:p>
    <w:p w:rsidR="00000000" w:rsidRDefault="00537164">
      <w:pPr>
        <w:pStyle w:val="NormalWeb"/>
      </w:pPr>
      <w:r>
        <w:lastRenderedPageBreak/>
        <w:t> The</w:t>
      </w:r>
      <w:r>
        <w:t xml:space="preserve"> wishes of the child, if of sufficient age</w:t>
      </w:r>
      <w:r>
        <w:t>;</w:t>
      </w:r>
    </w:p>
    <w:p w:rsidR="00000000" w:rsidRDefault="00537164">
      <w:pPr>
        <w:pStyle w:val="NormalWeb"/>
      </w:pPr>
      <w:r>
        <w:t> The length of time the present custody arrangement has continued</w:t>
      </w:r>
      <w:r>
        <w:t>;</w:t>
      </w:r>
    </w:p>
    <w:p w:rsidR="00000000" w:rsidRDefault="00537164">
      <w:pPr>
        <w:pStyle w:val="NormalWeb"/>
      </w:pPr>
      <w:r>
        <w:t> Abduction or abandonment of the child or other defiance of legal process;</w:t>
      </w:r>
      <w:hyperlink w:anchor="bottom" w:history="1">
        <w:r>
          <w:rPr>
            <w:rStyle w:val="Hyperlink"/>
          </w:rPr>
          <w:t>11</w:t>
        </w:r>
      </w:hyperlink>
    </w:p>
    <w:p w:rsidR="00000000" w:rsidRDefault="00537164">
      <w:pPr>
        <w:pStyle w:val="NormalWeb"/>
      </w:pPr>
      <w:r>
        <w:t> </w:t>
      </w:r>
      <w:r>
        <w:t>The relative stability of the respective parents</w:t>
      </w:r>
      <w:r>
        <w:t>;</w:t>
      </w:r>
    </w:p>
    <w:p w:rsidR="00000000" w:rsidRDefault="00537164">
      <w:pPr>
        <w:pStyle w:val="NormalWeb"/>
      </w:pPr>
      <w:r>
        <w:t> The care and affection shown to the child by the parents</w:t>
      </w:r>
      <w:r>
        <w:t>;</w:t>
      </w:r>
    </w:p>
    <w:p w:rsidR="00000000" w:rsidRDefault="00537164">
      <w:pPr>
        <w:pStyle w:val="NormalWeb"/>
      </w:pPr>
      <w:r>
        <w:t> The atmosphere in the homes</w:t>
      </w:r>
      <w:r>
        <w:t>;</w:t>
      </w:r>
    </w:p>
    <w:p w:rsidR="00000000" w:rsidRDefault="00537164">
      <w:pPr>
        <w:pStyle w:val="NormalWeb"/>
      </w:pPr>
      <w:r>
        <w:t> The ability and availability of the parents</w:t>
      </w:r>
      <w:r>
        <w:t>;</w:t>
      </w:r>
    </w:p>
    <w:p w:rsidR="00000000" w:rsidRDefault="00537164">
      <w:pPr>
        <w:pStyle w:val="NormalWeb"/>
      </w:pPr>
      <w:r>
        <w:t> The morality of the parents</w:t>
      </w:r>
      <w:r>
        <w:t>;</w:t>
      </w:r>
    </w:p>
    <w:p w:rsidR="00000000" w:rsidRDefault="00537164">
      <w:pPr>
        <w:pStyle w:val="NormalWeb"/>
      </w:pPr>
      <w:r>
        <w:t> </w:t>
      </w:r>
      <w:r>
        <w:t>The prospective educational probabilities</w:t>
      </w:r>
      <w:r>
        <w:t>;</w:t>
      </w:r>
    </w:p>
    <w:p w:rsidR="00000000" w:rsidRDefault="00537164">
      <w:pPr>
        <w:pStyle w:val="NormalWeb"/>
      </w:pPr>
      <w:r>
        <w:t> The possible effect of a custodial change on the children</w:t>
      </w:r>
      <w:r>
        <w:t>;</w:t>
      </w:r>
    </w:p>
    <w:p w:rsidR="00000000" w:rsidRDefault="00537164">
      <w:pPr>
        <w:pStyle w:val="NormalWeb"/>
      </w:pPr>
      <w:r>
        <w:t> The financial standing of the parents; an</w:t>
      </w:r>
      <w:r>
        <w:t>d</w:t>
      </w:r>
    </w:p>
    <w:p w:rsidR="00000000" w:rsidRDefault="00537164">
      <w:pPr>
        <w:pStyle w:val="NormalWeb"/>
      </w:pPr>
      <w:r>
        <w:t> The parents' past conduct.</w:t>
      </w:r>
      <w:hyperlink w:anchor="bottom" w:history="1">
        <w:r>
          <w:rPr>
            <w:rStyle w:val="Hyperlink"/>
          </w:rPr>
          <w:t>12</w:t>
        </w:r>
      </w:hyperlink>
    </w:p>
    <w:p w:rsidR="00000000" w:rsidRDefault="00537164">
      <w:pPr>
        <w:ind w:left="720"/>
        <w:rPr>
          <w:rFonts w:eastAsia="Times New Roman"/>
        </w:rPr>
      </w:pPr>
      <w:r>
        <w:rPr>
          <w:rFonts w:eastAsia="Times New Roman"/>
        </w:rPr>
        <w:t>Additional factors that courts consider include:</w:t>
      </w:r>
    </w:p>
    <w:p w:rsidR="00000000" w:rsidRDefault="00537164">
      <w:pPr>
        <w:pStyle w:val="NormalWeb"/>
      </w:pPr>
      <w:r>
        <w:t> </w:t>
      </w:r>
      <w:r>
        <w:t>The refusal of a parent to permit visitation and/or the willingness of a parent to encourage visitation;</w:t>
      </w:r>
      <w:hyperlink w:anchor="bottom" w:history="1">
        <w:r>
          <w:rPr>
            <w:rStyle w:val="Hyperlink"/>
          </w:rPr>
          <w:t>13</w:t>
        </w:r>
      </w:hyperlink>
    </w:p>
    <w:p w:rsidR="00000000" w:rsidRDefault="00537164">
      <w:pPr>
        <w:pStyle w:val="NormalWeb"/>
      </w:pPr>
      <w:r>
        <w:t> Unauthorized relocation of the parent and child to a distant domicile;</w:t>
      </w:r>
      <w:hyperlink w:anchor="bottom" w:history="1">
        <w:r>
          <w:rPr>
            <w:rStyle w:val="Hyperlink"/>
          </w:rPr>
          <w:t>14</w:t>
        </w:r>
      </w:hyperlink>
      <w:r>
        <w:t xml:space="preserve"> an</w:t>
      </w:r>
      <w:r>
        <w:t>d</w:t>
      </w:r>
    </w:p>
    <w:p w:rsidR="00000000" w:rsidRDefault="00537164">
      <w:pPr>
        <w:pStyle w:val="NormalWeb"/>
      </w:pPr>
      <w:r>
        <w:t> Making unfou</w:t>
      </w:r>
      <w:r>
        <w:t>nded accusations of child abuse.</w:t>
      </w:r>
      <w:hyperlink w:anchor="bottom" w:history="1">
        <w:r>
          <w:rPr>
            <w:rStyle w:val="Hyperlink"/>
          </w:rPr>
          <w:t>15</w:t>
        </w:r>
      </w:hyperlink>
    </w:p>
    <w:p w:rsidR="00000000" w:rsidRDefault="00537164">
      <w:pPr>
        <w:ind w:left="720"/>
        <w:rPr>
          <w:rFonts w:eastAsia="Times New Roman"/>
        </w:rPr>
      </w:pPr>
      <w:r>
        <w:rPr>
          <w:rFonts w:eastAsia="Times New Roman"/>
        </w:rPr>
        <w:t>Recently, the legislature has mandated that the court consider the corrosive impact of domestic violence and the increased danger to the family upon dissolution and into the foreseeable future</w:t>
      </w:r>
      <w:r>
        <w:rPr>
          <w:rFonts w:eastAsia="Times New Roman"/>
        </w:rPr>
        <w:t>." </w:t>
      </w:r>
      <w:hyperlink w:anchor="bottom" w:history="1">
        <w:r>
          <w:rPr>
            <w:rStyle w:val="Hyperlink"/>
            <w:rFonts w:eastAsia="Times New Roman"/>
          </w:rPr>
          <w:t>16</w:t>
        </w:r>
      </w:hyperlink>
      <w:r>
        <w:rPr>
          <w:rFonts w:eastAsia="Times New Roman"/>
        </w:rPr>
        <w:t xml:space="preserve"> Where either party alleges that the other party has committed an act of domestic violence against the alleging party or a family or household member of either party, and the allegations are proven by a preponderance of th</w:t>
      </w:r>
      <w:r>
        <w:rPr>
          <w:rFonts w:eastAsia="Times New Roman"/>
        </w:rPr>
        <w:t>e evidence, the court must consider the effect of such domestic violence upon the best interests of the child.</w:t>
      </w:r>
    </w:p>
    <w:p w:rsidR="00000000" w:rsidRDefault="00537164">
      <w:pPr>
        <w:ind w:left="720"/>
        <w:rPr>
          <w:rFonts w:eastAsia="Times New Roman"/>
        </w:rPr>
      </w:pPr>
      <w:r>
        <w:rPr>
          <w:rFonts w:eastAsia="Times New Roman"/>
        </w:rPr>
        <w:t>Courts view each of the factors independently, as part of the "totality of the circumstances," although certain factors appear to be more signifi</w:t>
      </w:r>
      <w:r>
        <w:rPr>
          <w:rFonts w:eastAsia="Times New Roman"/>
        </w:rPr>
        <w:t>cant then others.</w:t>
      </w:r>
    </w:p>
    <w:p w:rsidR="00000000" w:rsidRDefault="00537164">
      <w:pPr>
        <w:ind w:left="720"/>
        <w:rPr>
          <w:rFonts w:eastAsia="Times New Roman"/>
        </w:rPr>
      </w:pPr>
      <w:r>
        <w:rPr>
          <w:rFonts w:eastAsia="Times New Roman"/>
        </w:rPr>
        <w:t>If a parent has a job requiring long and frequent periods away from home, that parent will be required to show adequate and specific plans for how the child will be taken care of.</w:t>
      </w:r>
      <w:hyperlink w:anchor="bottom" w:history="1">
        <w:r>
          <w:rPr>
            <w:rStyle w:val="Hyperlink"/>
            <w:rFonts w:eastAsia="Times New Roman"/>
          </w:rPr>
          <w:t>17</w:t>
        </w:r>
      </w:hyperlink>
      <w:r>
        <w:rPr>
          <w:rFonts w:eastAsia="Times New Roman"/>
        </w:rPr>
        <w:t xml:space="preserve"> Direct care and guidance by</w:t>
      </w:r>
      <w:r>
        <w:rPr>
          <w:rFonts w:eastAsia="Times New Roman"/>
        </w:rPr>
        <w:t xml:space="preserve"> the parent, rather than by third parties, is preferred. A parent's ability to personally devote time to the child and his/her needs is an important factor. </w:t>
      </w:r>
      <w:hyperlink w:anchor="bottom" w:history="1">
        <w:r>
          <w:rPr>
            <w:rStyle w:val="Hyperlink"/>
            <w:rFonts w:eastAsia="Times New Roman"/>
          </w:rPr>
          <w:t>18</w:t>
        </w:r>
      </w:hyperlink>
    </w:p>
    <w:p w:rsidR="00000000" w:rsidRDefault="00537164">
      <w:pPr>
        <w:ind w:left="720"/>
        <w:rPr>
          <w:rFonts w:eastAsia="Times New Roman"/>
        </w:rPr>
      </w:pPr>
      <w:r>
        <w:rPr>
          <w:rFonts w:eastAsia="Times New Roman"/>
        </w:rPr>
        <w:lastRenderedPageBreak/>
        <w:t>As a matter of policy, courts tend to refrain from intervening with</w:t>
      </w:r>
      <w:r>
        <w:rPr>
          <w:rFonts w:eastAsia="Times New Roman"/>
        </w:rPr>
        <w:t xml:space="preserve"> respect to the child's religious upbringing.</w:t>
      </w:r>
      <w:hyperlink w:anchor="bottom" w:history="1">
        <w:r>
          <w:rPr>
            <w:rStyle w:val="Hyperlink"/>
            <w:rFonts w:eastAsia="Times New Roman"/>
          </w:rPr>
          <w:t>19</w:t>
        </w:r>
      </w:hyperlink>
      <w:r>
        <w:rPr>
          <w:rFonts w:eastAsia="Times New Roman"/>
        </w:rPr>
        <w:t xml:space="preserve"> Courts may not inquire into the religious beliefs and practices of a parent and base a custody decision on a determination that such beliefs and practices would or would not be in</w:t>
      </w:r>
      <w:r>
        <w:rPr>
          <w:rFonts w:eastAsia="Times New Roman"/>
        </w:rPr>
        <w:t xml:space="preserve"> the child's best interest.</w:t>
      </w:r>
      <w:hyperlink w:anchor="bottom" w:history="1">
        <w:r>
          <w:rPr>
            <w:rStyle w:val="Hyperlink"/>
            <w:rFonts w:eastAsia="Times New Roman"/>
          </w:rPr>
          <w:t>20</w:t>
        </w:r>
      </w:hyperlink>
      <w:r>
        <w:rPr>
          <w:rFonts w:eastAsia="Times New Roman"/>
        </w:rPr>
        <w:t xml:space="preserve"> However, courts may consider religion as a factor where a child has developed actual ties to a specific religion, or where a parent's particular religious practices threaten the health and welfare </w:t>
      </w:r>
      <w:r>
        <w:rPr>
          <w:rFonts w:eastAsia="Times New Roman"/>
        </w:rPr>
        <w:t>of child.</w:t>
      </w:r>
    </w:p>
    <w:p w:rsidR="00000000" w:rsidRDefault="00537164">
      <w:pPr>
        <w:ind w:left="720"/>
        <w:rPr>
          <w:rFonts w:eastAsia="Times New Roman"/>
        </w:rPr>
      </w:pPr>
      <w:r>
        <w:rPr>
          <w:rFonts w:eastAsia="Times New Roman"/>
        </w:rPr>
        <w:t>The contemporary view is that adults are entitled to indulge in their sexual preferences as a matter of privacy, if no harm comes to the children.</w:t>
      </w:r>
      <w:hyperlink w:anchor="bottom" w:history="1">
        <w:r>
          <w:rPr>
            <w:rStyle w:val="Hyperlink"/>
            <w:rFonts w:eastAsia="Times New Roman"/>
          </w:rPr>
          <w:t>21</w:t>
        </w:r>
      </w:hyperlink>
      <w:r>
        <w:rPr>
          <w:rFonts w:eastAsia="Times New Roman"/>
        </w:rPr>
        <w:t xml:space="preserve"> Courts inquire into what effect, if any, the objectionable conduct h</w:t>
      </w:r>
      <w:r>
        <w:rPr>
          <w:rFonts w:eastAsia="Times New Roman"/>
        </w:rPr>
        <w:t>ad on the children.</w:t>
      </w:r>
      <w:hyperlink w:anchor="bottom" w:history="1">
        <w:r>
          <w:rPr>
            <w:rStyle w:val="Hyperlink"/>
            <w:rFonts w:eastAsia="Times New Roman"/>
          </w:rPr>
          <w:t>22</w:t>
        </w:r>
      </w:hyperlink>
      <w:r>
        <w:rPr>
          <w:rFonts w:eastAsia="Times New Roman"/>
        </w:rPr>
        <w:t xml:space="preserve"> A parent's homosexuality is a consideration in a custody proceeding only if it is shown to adversely affect the child's welfare. </w:t>
      </w:r>
      <w:hyperlink w:anchor="bottom" w:history="1">
        <w:r>
          <w:rPr>
            <w:rStyle w:val="Hyperlink"/>
            <w:rFonts w:eastAsia="Times New Roman"/>
          </w:rPr>
          <w:t>23</w:t>
        </w:r>
      </w:hyperlink>
      <w:r>
        <w:rPr>
          <w:rFonts w:eastAsia="Times New Roman"/>
        </w:rPr>
        <w:t xml:space="preserve"> Sexual misconduct, however, when combined wi</w:t>
      </w:r>
      <w:r>
        <w:rPr>
          <w:rFonts w:eastAsia="Times New Roman"/>
        </w:rPr>
        <w:t>th other factors such as unseemly conduct in the presence of the children, can lead to a finding of parental unfitness.</w:t>
      </w:r>
      <w:hyperlink w:anchor="bottom" w:history="1">
        <w:r>
          <w:rPr>
            <w:rStyle w:val="Hyperlink"/>
            <w:rFonts w:eastAsia="Times New Roman"/>
          </w:rPr>
          <w:t>24</w:t>
        </w:r>
      </w:hyperlink>
    </w:p>
    <w:p w:rsidR="00000000" w:rsidRDefault="00537164">
      <w:pPr>
        <w:ind w:left="720"/>
        <w:rPr>
          <w:rFonts w:eastAsia="Times New Roman"/>
        </w:rPr>
      </w:pPr>
      <w:r>
        <w:rPr>
          <w:rFonts w:eastAsia="Times New Roman"/>
        </w:rPr>
        <w:t>To guard against bias and prejudice, a court in a child custody determination should inquire into what im</w:t>
      </w:r>
      <w:r>
        <w:rPr>
          <w:rFonts w:eastAsia="Times New Roman"/>
        </w:rPr>
        <w:t xml:space="preserve">pact, if any, has the behavior in question has had upon the children. If there is no direct impact, a punitive award should be resisted. If the behavior has been detrimental to the children, that should be considered. The difficulty, of course, is to make </w:t>
      </w:r>
      <w:r>
        <w:rPr>
          <w:rFonts w:eastAsia="Times New Roman"/>
        </w:rPr>
        <w:t>a reasoned distinction between the relevant and the irrelevant.</w:t>
      </w:r>
    </w:p>
    <w:p w:rsidR="00000000" w:rsidRDefault="00537164">
      <w:pPr>
        <w:pStyle w:val="NormalWeb"/>
        <w:rPr>
          <w:b/>
          <w:bCs/>
        </w:rPr>
      </w:pPr>
      <w:r>
        <w:rPr>
          <w:b/>
          <w:bCs/>
        </w:rPr>
        <w:t>Other Considerations</w:t>
      </w:r>
    </w:p>
    <w:p w:rsidR="00000000" w:rsidRDefault="00537164">
      <w:pPr>
        <w:ind w:left="720"/>
        <w:rPr>
          <w:rFonts w:eastAsia="Times New Roman"/>
          <w:i/>
          <w:iCs/>
        </w:rPr>
      </w:pPr>
      <w:r>
        <w:rPr>
          <w:rFonts w:eastAsia="Times New Roman"/>
        </w:rPr>
        <w:t>Where the parent abandons the child, our courts will usually award custody to the parent who has remained with the child.</w:t>
      </w:r>
      <w:hyperlink w:anchor="bottom" w:history="1">
        <w:r>
          <w:rPr>
            <w:rStyle w:val="Hyperlink"/>
            <w:rFonts w:eastAsia="Times New Roman"/>
          </w:rPr>
          <w:t>25</w:t>
        </w:r>
      </w:hyperlink>
    </w:p>
    <w:p w:rsidR="00000000" w:rsidRDefault="00537164">
      <w:pPr>
        <w:ind w:left="720"/>
        <w:rPr>
          <w:rFonts w:eastAsia="Times New Roman"/>
          <w:i/>
          <w:iCs/>
        </w:rPr>
      </w:pPr>
      <w:r>
        <w:rPr>
          <w:rFonts w:eastAsia="Times New Roman"/>
        </w:rPr>
        <w:t>A parent's history</w:t>
      </w:r>
      <w:r>
        <w:rPr>
          <w:rFonts w:eastAsia="Times New Roman"/>
        </w:rPr>
        <w:t xml:space="preserve"> of mental illness is not a bar to an award of custody where that parent has, in the court's opinion, recovered.</w:t>
      </w:r>
      <w:hyperlink w:anchor="bottom" w:history="1">
        <w:r>
          <w:rPr>
            <w:rStyle w:val="Hyperlink"/>
            <w:rFonts w:eastAsia="Times New Roman"/>
          </w:rPr>
          <w:t>26</w:t>
        </w:r>
      </w:hyperlink>
      <w:r>
        <w:rPr>
          <w:rFonts w:eastAsia="Times New Roman"/>
        </w:rPr>
        <w:t xml:space="preserve"> However, if it is detrimental to the child, that parent will be denied custody.</w:t>
      </w:r>
      <w:hyperlink w:anchor="bottom" w:history="1">
        <w:r>
          <w:rPr>
            <w:rStyle w:val="Hyperlink"/>
            <w:rFonts w:eastAsia="Times New Roman"/>
          </w:rPr>
          <w:t>27</w:t>
        </w:r>
      </w:hyperlink>
      <w:r>
        <w:rPr>
          <w:rFonts w:eastAsia="Times New Roman"/>
        </w:rPr>
        <w:t xml:space="preserve"> </w:t>
      </w:r>
      <w:r>
        <w:rPr>
          <w:rFonts w:eastAsia="Times New Roman"/>
        </w:rPr>
        <w:t>Similarly, a parent who is a substance abuser will be denied custody.</w:t>
      </w:r>
      <w:hyperlink w:anchor="bottom" w:history="1">
        <w:r>
          <w:rPr>
            <w:rStyle w:val="Hyperlink"/>
            <w:rFonts w:eastAsia="Times New Roman"/>
          </w:rPr>
          <w:t>28</w:t>
        </w:r>
      </w:hyperlink>
    </w:p>
    <w:p w:rsidR="00000000" w:rsidRDefault="00537164">
      <w:pPr>
        <w:ind w:left="720"/>
        <w:rPr>
          <w:rFonts w:eastAsia="Times New Roman"/>
        </w:rPr>
      </w:pPr>
      <w:r>
        <w:rPr>
          <w:rFonts w:eastAsia="Times New Roman"/>
        </w:rPr>
        <w:t>Where more than one child is involved, the court should consider the desires of each child, although it has long been recognized that it is often in a chil</w:t>
      </w:r>
      <w:r>
        <w:rPr>
          <w:rFonts w:eastAsia="Times New Roman"/>
        </w:rPr>
        <w:t>d's best interest to continue to live with his siblings,</w:t>
      </w:r>
      <w:hyperlink w:anchor="bottom" w:history="1">
        <w:r>
          <w:rPr>
            <w:rStyle w:val="Hyperlink"/>
            <w:rFonts w:eastAsia="Times New Roman"/>
          </w:rPr>
          <w:t>29</w:t>
        </w:r>
      </w:hyperlink>
      <w:r>
        <w:rPr>
          <w:rFonts w:eastAsia="Times New Roman"/>
        </w:rPr>
        <w:t xml:space="preserve"> and there is a strong policy of maintaining close sibling relationships.</w:t>
      </w:r>
      <w:hyperlink w:anchor="bottom" w:history="1">
        <w:r>
          <w:rPr>
            <w:rStyle w:val="Hyperlink"/>
            <w:rFonts w:eastAsia="Times New Roman"/>
          </w:rPr>
          <w:t>30</w:t>
        </w:r>
      </w:hyperlink>
      <w:r>
        <w:rPr>
          <w:rFonts w:eastAsia="Times New Roman"/>
        </w:rPr>
        <w:t xml:space="preserve"> While the court may consider the wishes of a child, the child's </w:t>
      </w:r>
      <w:r>
        <w:rPr>
          <w:rFonts w:eastAsia="Times New Roman"/>
        </w:rPr>
        <w:t>desires are not controlling,</w:t>
      </w:r>
      <w:hyperlink w:anchor="bottom" w:history="1">
        <w:r>
          <w:rPr>
            <w:rStyle w:val="Hyperlink"/>
            <w:rFonts w:eastAsia="Times New Roman"/>
          </w:rPr>
          <w:t>31</w:t>
        </w:r>
      </w:hyperlink>
      <w:r>
        <w:rPr>
          <w:rFonts w:eastAsia="Times New Roman"/>
        </w:rPr>
        <w:t xml:space="preserve"> and it is not error to fail to ascertain the wishes of a child of tender years.</w:t>
      </w:r>
      <w:hyperlink w:anchor="bottom" w:history="1">
        <w:r>
          <w:rPr>
            <w:rStyle w:val="Hyperlink"/>
            <w:rFonts w:eastAsia="Times New Roman"/>
          </w:rPr>
          <w:t>32</w:t>
        </w:r>
      </w:hyperlink>
    </w:p>
    <w:p w:rsidR="00000000" w:rsidRDefault="00537164">
      <w:pPr>
        <w:ind w:left="720"/>
        <w:rPr>
          <w:rFonts w:eastAsia="Times New Roman"/>
        </w:rPr>
      </w:pPr>
      <w:r>
        <w:rPr>
          <w:rFonts w:eastAsia="Times New Roman"/>
        </w:rPr>
        <w:t>No one factor is determinative in making a custody award. The courts must weigh and b</w:t>
      </w:r>
      <w:r>
        <w:rPr>
          <w:rFonts w:eastAsia="Times New Roman"/>
        </w:rPr>
        <w:t>alance the "totality of the circumstances" in making any custody determination.</w:t>
      </w:r>
    </w:p>
    <w:p w:rsidR="00000000" w:rsidRDefault="00537164">
      <w:pPr>
        <w:pStyle w:val="NormalWeb"/>
        <w:jc w:val="center"/>
      </w:pPr>
      <w:r>
        <w:t>---------------------</w:t>
      </w:r>
      <w:r>
        <w:t>-</w:t>
      </w:r>
    </w:p>
    <w:p w:rsidR="00000000" w:rsidRDefault="00537164">
      <w:pPr>
        <w:pStyle w:val="NormalWeb"/>
        <w:jc w:val="center"/>
      </w:pPr>
      <w:r>
        <w:t>Note</w:t>
      </w:r>
      <w:r>
        <w:t>s</w:t>
      </w:r>
    </w:p>
    <w:p w:rsidR="00000000" w:rsidRDefault="00537164">
      <w:pPr>
        <w:ind w:left="720"/>
        <w:rPr>
          <w:rFonts w:eastAsia="Times New Roman"/>
        </w:rPr>
      </w:pPr>
      <w:bookmarkStart w:id="1" w:name="bottom"/>
      <w:bookmarkEnd w:id="1"/>
      <w:r>
        <w:rPr>
          <w:rFonts w:eastAsia="Times New Roman"/>
          <w:sz w:val="20"/>
          <w:szCs w:val="20"/>
        </w:rPr>
        <w:t xml:space="preserve">(1) </w:t>
      </w:r>
      <w:r>
        <w:rPr>
          <w:rFonts w:eastAsia="Times New Roman"/>
          <w:i/>
          <w:iCs/>
          <w:sz w:val="20"/>
          <w:szCs w:val="20"/>
        </w:rPr>
        <w:t>Matter of Lincoln,</w:t>
      </w:r>
      <w:r>
        <w:rPr>
          <w:rFonts w:eastAsia="Times New Roman"/>
          <w:sz w:val="20"/>
          <w:szCs w:val="20"/>
        </w:rPr>
        <w:t xml:space="preserve"> 24 NY2d 270 (1960). </w:t>
      </w:r>
      <w:r>
        <w:rPr>
          <w:rFonts w:eastAsia="Times New Roman"/>
          <w:i/>
          <w:iCs/>
          <w:sz w:val="20"/>
          <w:szCs w:val="20"/>
        </w:rPr>
        <w:t>Finlay v. Finlay,</w:t>
      </w:r>
      <w:r>
        <w:rPr>
          <w:rFonts w:eastAsia="Times New Roman"/>
          <w:sz w:val="20"/>
          <w:szCs w:val="20"/>
        </w:rPr>
        <w:t xml:space="preserve"> 240 NY 429.</w:t>
      </w:r>
    </w:p>
    <w:p w:rsidR="00000000" w:rsidRDefault="00537164">
      <w:pPr>
        <w:ind w:left="720"/>
        <w:rPr>
          <w:rFonts w:eastAsia="Times New Roman"/>
        </w:rPr>
      </w:pPr>
      <w:r>
        <w:rPr>
          <w:rFonts w:eastAsia="Times New Roman"/>
          <w:sz w:val="20"/>
          <w:szCs w:val="20"/>
        </w:rPr>
        <w:t>(2) P</w:t>
      </w:r>
      <w:r>
        <w:rPr>
          <w:rFonts w:eastAsia="Times New Roman"/>
          <w:i/>
          <w:iCs/>
          <w:sz w:val="20"/>
          <w:szCs w:val="20"/>
        </w:rPr>
        <w:t>etition of Alaimo</w:t>
      </w:r>
      <w:r>
        <w:rPr>
          <w:rFonts w:eastAsia="Times New Roman"/>
          <w:sz w:val="20"/>
          <w:szCs w:val="20"/>
        </w:rPr>
        <w:t>, 36 Misc 2d 759, 233 NYS2d 508.</w:t>
      </w:r>
    </w:p>
    <w:p w:rsidR="00000000" w:rsidRDefault="00537164">
      <w:pPr>
        <w:ind w:left="720"/>
        <w:rPr>
          <w:rFonts w:eastAsia="Times New Roman"/>
        </w:rPr>
      </w:pPr>
      <w:r>
        <w:rPr>
          <w:rFonts w:eastAsia="Times New Roman"/>
          <w:sz w:val="20"/>
          <w:szCs w:val="20"/>
        </w:rPr>
        <w:t xml:space="preserve">(3) People ex rel. </w:t>
      </w:r>
      <w:r>
        <w:rPr>
          <w:rFonts w:eastAsia="Times New Roman"/>
          <w:i/>
          <w:iCs/>
          <w:sz w:val="20"/>
          <w:szCs w:val="20"/>
        </w:rPr>
        <w:t>Ragona v. De Saint Cyr</w:t>
      </w:r>
      <w:r>
        <w:rPr>
          <w:rFonts w:eastAsia="Times New Roman"/>
          <w:sz w:val="20"/>
          <w:szCs w:val="20"/>
        </w:rPr>
        <w:t xml:space="preserve">, 207 Misc 194, 137 NYS2d 275; People ex rel. </w:t>
      </w:r>
      <w:r>
        <w:rPr>
          <w:rFonts w:eastAsia="Times New Roman"/>
          <w:i/>
          <w:iCs/>
          <w:sz w:val="20"/>
          <w:szCs w:val="20"/>
        </w:rPr>
        <w:t>Geismar v. Geismar</w:t>
      </w:r>
      <w:r>
        <w:rPr>
          <w:rFonts w:eastAsia="Times New Roman"/>
          <w:sz w:val="20"/>
          <w:szCs w:val="20"/>
        </w:rPr>
        <w:t xml:space="preserve">, 184 Misc 897, 54 NYS2d 747; </w:t>
      </w:r>
      <w:r>
        <w:rPr>
          <w:rFonts w:eastAsia="Times New Roman"/>
          <w:i/>
          <w:iCs/>
          <w:sz w:val="20"/>
          <w:szCs w:val="20"/>
        </w:rPr>
        <w:t>Bunim v. Bunim</w:t>
      </w:r>
      <w:r>
        <w:rPr>
          <w:rFonts w:eastAsia="Times New Roman"/>
          <w:sz w:val="20"/>
          <w:szCs w:val="20"/>
        </w:rPr>
        <w:t xml:space="preserve">, 298 NY 391, 83 NE2d 848; </w:t>
      </w:r>
      <w:r>
        <w:rPr>
          <w:rFonts w:eastAsia="Times New Roman"/>
          <w:i/>
          <w:iCs/>
          <w:sz w:val="20"/>
          <w:szCs w:val="20"/>
        </w:rPr>
        <w:t>Otterman v. Lombardo</w:t>
      </w:r>
      <w:r>
        <w:rPr>
          <w:rFonts w:eastAsia="Times New Roman"/>
          <w:sz w:val="20"/>
          <w:szCs w:val="20"/>
        </w:rPr>
        <w:t>, 22 Misc 2d 104, 202 NYS2d 387.</w:t>
      </w:r>
    </w:p>
    <w:p w:rsidR="00000000" w:rsidRDefault="00537164">
      <w:pPr>
        <w:ind w:left="720"/>
        <w:rPr>
          <w:rFonts w:eastAsia="Times New Roman"/>
        </w:rPr>
      </w:pPr>
      <w:r>
        <w:rPr>
          <w:rFonts w:eastAsia="Times New Roman"/>
          <w:sz w:val="20"/>
          <w:szCs w:val="20"/>
        </w:rPr>
        <w:t xml:space="preserve">(4) People ex rel. </w:t>
      </w:r>
      <w:r>
        <w:rPr>
          <w:rFonts w:eastAsia="Times New Roman"/>
          <w:i/>
          <w:iCs/>
          <w:sz w:val="20"/>
          <w:szCs w:val="20"/>
        </w:rPr>
        <w:t>Wright v. Gerow</w:t>
      </w:r>
      <w:r>
        <w:rPr>
          <w:rFonts w:eastAsia="Times New Roman"/>
          <w:sz w:val="20"/>
          <w:szCs w:val="20"/>
        </w:rPr>
        <w:t>, --AD-- 824</w:t>
      </w:r>
      <w:r>
        <w:rPr>
          <w:rFonts w:eastAsia="Times New Roman"/>
          <w:sz w:val="20"/>
          <w:szCs w:val="20"/>
        </w:rPr>
        <w:t>, 121 NYS2d 652.</w:t>
      </w:r>
    </w:p>
    <w:p w:rsidR="00000000" w:rsidRDefault="00537164">
      <w:pPr>
        <w:ind w:left="720"/>
        <w:rPr>
          <w:rFonts w:eastAsia="Times New Roman"/>
        </w:rPr>
      </w:pPr>
      <w:r>
        <w:rPr>
          <w:rFonts w:eastAsia="Times New Roman"/>
          <w:sz w:val="20"/>
          <w:szCs w:val="20"/>
        </w:rPr>
        <w:t xml:space="preserve">(5) See </w:t>
      </w:r>
      <w:r>
        <w:rPr>
          <w:rFonts w:eastAsia="Times New Roman"/>
          <w:i/>
          <w:iCs/>
          <w:sz w:val="20"/>
          <w:szCs w:val="20"/>
        </w:rPr>
        <w:t>Application of Kades</w:t>
      </w:r>
      <w:r>
        <w:rPr>
          <w:rFonts w:eastAsia="Times New Roman"/>
          <w:sz w:val="20"/>
          <w:szCs w:val="20"/>
        </w:rPr>
        <w:t>, 25 Misc 2d 246, 202 NYS2d 362.</w:t>
      </w:r>
    </w:p>
    <w:p w:rsidR="00000000" w:rsidRDefault="00537164">
      <w:pPr>
        <w:ind w:left="720"/>
        <w:rPr>
          <w:rFonts w:eastAsia="Times New Roman"/>
        </w:rPr>
      </w:pPr>
      <w:r>
        <w:rPr>
          <w:rFonts w:eastAsia="Times New Roman"/>
          <w:sz w:val="20"/>
          <w:szCs w:val="20"/>
        </w:rPr>
        <w:lastRenderedPageBreak/>
        <w:t xml:space="preserve">(6) </w:t>
      </w:r>
      <w:r>
        <w:rPr>
          <w:rFonts w:eastAsia="Times New Roman"/>
          <w:i/>
          <w:iCs/>
          <w:sz w:val="20"/>
          <w:szCs w:val="20"/>
        </w:rPr>
        <w:t>Ebert v. Ebert,</w:t>
      </w:r>
      <w:r>
        <w:rPr>
          <w:rFonts w:eastAsia="Times New Roman"/>
          <w:sz w:val="20"/>
          <w:szCs w:val="20"/>
        </w:rPr>
        <w:t xml:space="preserve"> 38 NY2d 700, 382 NYS2d 472 (1976). See also, </w:t>
      </w:r>
      <w:r>
        <w:rPr>
          <w:rFonts w:eastAsia="Times New Roman"/>
          <w:i/>
          <w:iCs/>
          <w:sz w:val="20"/>
          <w:szCs w:val="20"/>
        </w:rPr>
        <w:t>Eschbach v.</w:t>
      </w:r>
      <w:r>
        <w:rPr>
          <w:rFonts w:eastAsia="Times New Roman"/>
          <w:sz w:val="20"/>
          <w:szCs w:val="20"/>
        </w:rPr>
        <w:t xml:space="preserve"> </w:t>
      </w:r>
      <w:r>
        <w:rPr>
          <w:rFonts w:eastAsia="Times New Roman"/>
          <w:i/>
          <w:iCs/>
          <w:sz w:val="20"/>
          <w:szCs w:val="20"/>
        </w:rPr>
        <w:t>Eschbach,</w:t>
      </w:r>
      <w:r>
        <w:rPr>
          <w:rFonts w:eastAsia="Times New Roman"/>
          <w:sz w:val="20"/>
          <w:szCs w:val="20"/>
        </w:rPr>
        <w:t xml:space="preserve"> 56 NY2d 167 451 NYS2d 658 (1983).</w:t>
      </w:r>
    </w:p>
    <w:p w:rsidR="00000000" w:rsidRDefault="00537164">
      <w:pPr>
        <w:ind w:left="720"/>
        <w:rPr>
          <w:rFonts w:eastAsia="Times New Roman"/>
        </w:rPr>
      </w:pPr>
      <w:r>
        <w:rPr>
          <w:rFonts w:eastAsia="Times New Roman"/>
          <w:sz w:val="20"/>
          <w:szCs w:val="20"/>
        </w:rPr>
        <w:t>(7)</w:t>
      </w:r>
      <w:r>
        <w:rPr>
          <w:rFonts w:eastAsia="Times New Roman"/>
          <w:i/>
          <w:iCs/>
          <w:sz w:val="20"/>
          <w:szCs w:val="20"/>
        </w:rPr>
        <w:t xml:space="preserve"> Friederwitzer v. Friederwitzer</w:t>
      </w:r>
      <w:r>
        <w:rPr>
          <w:rFonts w:eastAsia="Times New Roman"/>
          <w:sz w:val="20"/>
          <w:szCs w:val="20"/>
        </w:rPr>
        <w:t>, 55 NY2d 89 (1982).</w:t>
      </w:r>
    </w:p>
    <w:p w:rsidR="00000000" w:rsidRDefault="00537164">
      <w:pPr>
        <w:ind w:left="720"/>
        <w:rPr>
          <w:rFonts w:eastAsia="Times New Roman"/>
        </w:rPr>
      </w:pPr>
      <w:r>
        <w:rPr>
          <w:rFonts w:eastAsia="Times New Roman"/>
          <w:sz w:val="20"/>
          <w:szCs w:val="20"/>
        </w:rPr>
        <w:t xml:space="preserve">(8) </w:t>
      </w:r>
      <w:r>
        <w:rPr>
          <w:rFonts w:eastAsia="Times New Roman"/>
          <w:i/>
          <w:iCs/>
          <w:sz w:val="20"/>
          <w:szCs w:val="20"/>
        </w:rPr>
        <w:t>Eschbach v. Eschbach</w:t>
      </w:r>
      <w:r>
        <w:rPr>
          <w:rFonts w:eastAsia="Times New Roman"/>
          <w:sz w:val="20"/>
          <w:szCs w:val="20"/>
        </w:rPr>
        <w:t>, supra.</w:t>
      </w:r>
    </w:p>
    <w:p w:rsidR="00000000" w:rsidRDefault="00537164">
      <w:pPr>
        <w:ind w:left="720"/>
        <w:rPr>
          <w:rFonts w:eastAsia="Times New Roman"/>
        </w:rPr>
      </w:pPr>
      <w:r>
        <w:rPr>
          <w:rFonts w:eastAsia="Times New Roman"/>
          <w:sz w:val="20"/>
          <w:szCs w:val="20"/>
        </w:rPr>
        <w:t xml:space="preserve">(9) The Court was referring to </w:t>
      </w:r>
      <w:r>
        <w:rPr>
          <w:rFonts w:eastAsia="Times New Roman"/>
          <w:i/>
          <w:iCs/>
          <w:sz w:val="20"/>
          <w:szCs w:val="20"/>
        </w:rPr>
        <w:t>Nehra v. Uhlar</w:t>
      </w:r>
      <w:r>
        <w:rPr>
          <w:rFonts w:eastAsia="Times New Roman"/>
          <w:sz w:val="20"/>
          <w:szCs w:val="20"/>
        </w:rPr>
        <w:t>, 43 N.Y.2d 242, 401 N.Y.S.2d 168 (1977).</w:t>
      </w:r>
    </w:p>
    <w:p w:rsidR="00000000" w:rsidRDefault="00537164">
      <w:pPr>
        <w:ind w:left="720"/>
        <w:rPr>
          <w:rFonts w:eastAsia="Times New Roman"/>
        </w:rPr>
      </w:pPr>
      <w:r>
        <w:rPr>
          <w:rFonts w:eastAsia="Times New Roman"/>
          <w:sz w:val="20"/>
          <w:szCs w:val="20"/>
        </w:rPr>
        <w:t xml:space="preserve">(10) </w:t>
      </w:r>
      <w:r>
        <w:rPr>
          <w:rFonts w:eastAsia="Times New Roman"/>
          <w:i/>
          <w:iCs/>
          <w:sz w:val="20"/>
          <w:szCs w:val="20"/>
        </w:rPr>
        <w:t>Eschbach v. Eschbach</w:t>
      </w:r>
      <w:r>
        <w:rPr>
          <w:rFonts w:eastAsia="Times New Roman"/>
          <w:sz w:val="20"/>
          <w:szCs w:val="20"/>
        </w:rPr>
        <w:t>, supra.</w:t>
      </w:r>
    </w:p>
    <w:p w:rsidR="00000000" w:rsidRDefault="00537164">
      <w:pPr>
        <w:ind w:left="720"/>
        <w:rPr>
          <w:rFonts w:eastAsia="Times New Roman"/>
        </w:rPr>
      </w:pPr>
      <w:r>
        <w:rPr>
          <w:rFonts w:eastAsia="Times New Roman"/>
          <w:sz w:val="20"/>
          <w:szCs w:val="20"/>
        </w:rPr>
        <w:t>(11)</w:t>
      </w:r>
      <w:r>
        <w:rPr>
          <w:rFonts w:eastAsia="Times New Roman"/>
          <w:i/>
          <w:iCs/>
          <w:sz w:val="20"/>
          <w:szCs w:val="20"/>
        </w:rPr>
        <w:t xml:space="preserve"> Friederwitzer v. Friederwitzer,</w:t>
      </w:r>
      <w:r>
        <w:rPr>
          <w:rFonts w:eastAsia="Times New Roman"/>
          <w:sz w:val="20"/>
          <w:szCs w:val="20"/>
        </w:rPr>
        <w:t xml:space="preserve"> supra (1982).</w:t>
      </w:r>
    </w:p>
    <w:p w:rsidR="00000000" w:rsidRDefault="00537164">
      <w:pPr>
        <w:ind w:left="720"/>
        <w:rPr>
          <w:rFonts w:eastAsia="Times New Roman"/>
        </w:rPr>
      </w:pPr>
      <w:r>
        <w:rPr>
          <w:rFonts w:eastAsia="Times New Roman"/>
          <w:sz w:val="20"/>
          <w:szCs w:val="20"/>
        </w:rPr>
        <w:t xml:space="preserve">(12) </w:t>
      </w:r>
      <w:r>
        <w:rPr>
          <w:rFonts w:eastAsia="Times New Roman"/>
          <w:i/>
          <w:iCs/>
          <w:sz w:val="20"/>
          <w:szCs w:val="20"/>
        </w:rPr>
        <w:t>Saunders v. Saunders,</w:t>
      </w:r>
      <w:r>
        <w:rPr>
          <w:rFonts w:eastAsia="Times New Roman"/>
          <w:sz w:val="20"/>
          <w:szCs w:val="20"/>
        </w:rPr>
        <w:t xml:space="preserve"> </w:t>
      </w:r>
      <w:r>
        <w:rPr>
          <w:rFonts w:eastAsia="Times New Roman"/>
          <w:sz w:val="20"/>
          <w:szCs w:val="20"/>
        </w:rPr>
        <w:t>60 AD2d 701, 400 NYS2d 588 (3d Dept., 1977).</w:t>
      </w:r>
    </w:p>
    <w:p w:rsidR="00000000" w:rsidRDefault="00537164">
      <w:pPr>
        <w:ind w:left="720"/>
        <w:rPr>
          <w:rFonts w:eastAsia="Times New Roman"/>
        </w:rPr>
      </w:pPr>
      <w:r>
        <w:rPr>
          <w:rFonts w:eastAsia="Times New Roman"/>
          <w:sz w:val="20"/>
          <w:szCs w:val="20"/>
        </w:rPr>
        <w:t xml:space="preserve">(13) </w:t>
      </w:r>
      <w:r>
        <w:rPr>
          <w:rFonts w:eastAsia="Times New Roman"/>
          <w:i/>
          <w:iCs/>
          <w:sz w:val="20"/>
          <w:szCs w:val="20"/>
        </w:rPr>
        <w:t>Young v. Young</w:t>
      </w:r>
      <w:r>
        <w:rPr>
          <w:rFonts w:eastAsia="Times New Roman"/>
          <w:sz w:val="20"/>
          <w:szCs w:val="20"/>
        </w:rPr>
        <w:t>, 212 AD2d 114, 628 NYS2d 957 (2d Dept.,1995).</w:t>
      </w:r>
    </w:p>
    <w:p w:rsidR="00000000" w:rsidRDefault="00537164">
      <w:pPr>
        <w:ind w:left="720"/>
        <w:rPr>
          <w:rFonts w:eastAsia="Times New Roman"/>
        </w:rPr>
      </w:pPr>
      <w:r>
        <w:rPr>
          <w:rFonts w:eastAsia="Times New Roman"/>
          <w:sz w:val="20"/>
          <w:szCs w:val="20"/>
        </w:rPr>
        <w:t xml:space="preserve">(14) </w:t>
      </w:r>
      <w:r>
        <w:rPr>
          <w:rFonts w:eastAsia="Times New Roman"/>
          <w:i/>
          <w:iCs/>
          <w:sz w:val="20"/>
          <w:szCs w:val="20"/>
        </w:rPr>
        <w:t>Entwhistle v. Entwhistle</w:t>
      </w:r>
      <w:r>
        <w:rPr>
          <w:rFonts w:eastAsia="Times New Roman"/>
          <w:sz w:val="20"/>
          <w:szCs w:val="20"/>
        </w:rPr>
        <w:t>, 92 AD2d 879, 459 NYS2d 862.</w:t>
      </w:r>
    </w:p>
    <w:p w:rsidR="00000000" w:rsidRDefault="00537164">
      <w:pPr>
        <w:ind w:left="720"/>
        <w:rPr>
          <w:rFonts w:eastAsia="Times New Roman"/>
        </w:rPr>
      </w:pPr>
      <w:r>
        <w:rPr>
          <w:rFonts w:eastAsia="Times New Roman"/>
          <w:sz w:val="20"/>
          <w:szCs w:val="20"/>
        </w:rPr>
        <w:t xml:space="preserve">(15) </w:t>
      </w:r>
      <w:r>
        <w:rPr>
          <w:rFonts w:eastAsia="Times New Roman"/>
          <w:i/>
          <w:iCs/>
          <w:sz w:val="20"/>
          <w:szCs w:val="20"/>
        </w:rPr>
        <w:t>Young v. Young</w:t>
      </w:r>
      <w:r>
        <w:rPr>
          <w:rFonts w:eastAsia="Times New Roman"/>
          <w:sz w:val="20"/>
          <w:szCs w:val="20"/>
        </w:rPr>
        <w:t>, supra.</w:t>
      </w:r>
    </w:p>
    <w:p w:rsidR="00000000" w:rsidRDefault="00537164">
      <w:pPr>
        <w:ind w:left="720"/>
        <w:rPr>
          <w:rFonts w:eastAsia="Times New Roman"/>
        </w:rPr>
      </w:pPr>
      <w:r>
        <w:rPr>
          <w:rFonts w:eastAsia="Times New Roman"/>
          <w:sz w:val="20"/>
          <w:szCs w:val="20"/>
        </w:rPr>
        <w:t>(16) Laws of 1996, Ch 85, §1, effective May 1, 1996.</w:t>
      </w:r>
    </w:p>
    <w:p w:rsidR="00000000" w:rsidRDefault="00537164">
      <w:pPr>
        <w:ind w:left="720"/>
        <w:rPr>
          <w:rFonts w:eastAsia="Times New Roman"/>
        </w:rPr>
      </w:pPr>
      <w:r>
        <w:rPr>
          <w:rFonts w:eastAsia="Times New Roman"/>
          <w:sz w:val="20"/>
          <w:szCs w:val="20"/>
        </w:rPr>
        <w:t xml:space="preserve">(17) </w:t>
      </w:r>
      <w:r>
        <w:rPr>
          <w:rFonts w:eastAsia="Times New Roman"/>
          <w:i/>
          <w:iCs/>
          <w:sz w:val="20"/>
          <w:szCs w:val="20"/>
        </w:rPr>
        <w:t>Bullotta v. Bullotta,</w:t>
      </w:r>
      <w:r>
        <w:rPr>
          <w:rFonts w:eastAsia="Times New Roman"/>
          <w:sz w:val="20"/>
          <w:szCs w:val="20"/>
        </w:rPr>
        <w:t xml:space="preserve"> 43 AD2d 847, 351 NYS2d 704 (2d Dept., 1974).</w:t>
      </w:r>
    </w:p>
    <w:p w:rsidR="00000000" w:rsidRDefault="00537164">
      <w:pPr>
        <w:ind w:left="720"/>
        <w:rPr>
          <w:rFonts w:eastAsia="Times New Roman"/>
        </w:rPr>
      </w:pPr>
      <w:r>
        <w:rPr>
          <w:rFonts w:eastAsia="Times New Roman"/>
          <w:sz w:val="20"/>
          <w:szCs w:val="20"/>
        </w:rPr>
        <w:t xml:space="preserve">(18) </w:t>
      </w:r>
      <w:r>
        <w:rPr>
          <w:rFonts w:eastAsia="Times New Roman"/>
          <w:i/>
          <w:iCs/>
          <w:sz w:val="20"/>
          <w:szCs w:val="20"/>
        </w:rPr>
        <w:t>Jacobs v. Jacobs,</w:t>
      </w:r>
      <w:r>
        <w:rPr>
          <w:rFonts w:eastAsia="Times New Roman"/>
          <w:sz w:val="20"/>
          <w:szCs w:val="20"/>
        </w:rPr>
        <w:t xml:space="preserve"> 117 AD2d 709, 498 NYS2d 852 (2d Dept., 1986).</w:t>
      </w:r>
    </w:p>
    <w:p w:rsidR="00000000" w:rsidRDefault="00537164">
      <w:pPr>
        <w:ind w:left="720"/>
        <w:rPr>
          <w:rFonts w:eastAsia="Times New Roman"/>
        </w:rPr>
      </w:pPr>
      <w:r>
        <w:rPr>
          <w:rFonts w:eastAsia="Times New Roman"/>
          <w:sz w:val="20"/>
          <w:szCs w:val="20"/>
        </w:rPr>
        <w:t xml:space="preserve">(19) See </w:t>
      </w:r>
      <w:r>
        <w:rPr>
          <w:rFonts w:eastAsia="Times New Roman"/>
          <w:i/>
          <w:iCs/>
          <w:sz w:val="20"/>
          <w:szCs w:val="20"/>
        </w:rPr>
        <w:t>People ex rel. Sisson v. Sisson,</w:t>
      </w:r>
      <w:r>
        <w:rPr>
          <w:rFonts w:eastAsia="Times New Roman"/>
          <w:sz w:val="20"/>
          <w:szCs w:val="20"/>
        </w:rPr>
        <w:t xml:space="preserve"> 271 NY 285 (1936).</w:t>
      </w:r>
    </w:p>
    <w:p w:rsidR="00000000" w:rsidRDefault="00537164">
      <w:pPr>
        <w:ind w:left="720"/>
        <w:rPr>
          <w:rFonts w:eastAsia="Times New Roman"/>
        </w:rPr>
      </w:pPr>
      <w:r>
        <w:rPr>
          <w:rFonts w:eastAsia="Times New Roman"/>
          <w:sz w:val="20"/>
          <w:szCs w:val="20"/>
        </w:rPr>
        <w:t xml:space="preserve">(20) </w:t>
      </w:r>
      <w:r>
        <w:rPr>
          <w:rFonts w:eastAsia="Times New Roman"/>
          <w:i/>
          <w:iCs/>
          <w:sz w:val="20"/>
          <w:szCs w:val="20"/>
        </w:rPr>
        <w:t>Aldous v. Aldous,</w:t>
      </w:r>
      <w:r>
        <w:rPr>
          <w:rFonts w:eastAsia="Times New Roman"/>
          <w:sz w:val="20"/>
          <w:szCs w:val="20"/>
        </w:rPr>
        <w:t xml:space="preserve"> 99 AD2d 197, 473 NYS2d 60 (3d Dept.)</w:t>
      </w:r>
      <w:r>
        <w:rPr>
          <w:rFonts w:eastAsia="Times New Roman"/>
          <w:sz w:val="20"/>
          <w:szCs w:val="20"/>
        </w:rPr>
        <w:t>.</w:t>
      </w:r>
    </w:p>
    <w:p w:rsidR="00000000" w:rsidRDefault="00537164">
      <w:pPr>
        <w:ind w:left="720"/>
        <w:rPr>
          <w:rFonts w:eastAsia="Times New Roman"/>
        </w:rPr>
      </w:pPr>
      <w:r>
        <w:rPr>
          <w:rFonts w:eastAsia="Times New Roman"/>
          <w:sz w:val="20"/>
          <w:szCs w:val="20"/>
        </w:rPr>
        <w:t xml:space="preserve">(21) </w:t>
      </w:r>
      <w:r>
        <w:rPr>
          <w:rFonts w:eastAsia="Times New Roman"/>
          <w:i/>
          <w:iCs/>
          <w:sz w:val="20"/>
          <w:szCs w:val="20"/>
        </w:rPr>
        <w:t>S v. J,</w:t>
      </w:r>
      <w:r>
        <w:rPr>
          <w:rFonts w:eastAsia="Times New Roman"/>
          <w:sz w:val="20"/>
          <w:szCs w:val="20"/>
        </w:rPr>
        <w:t xml:space="preserve"> 81 Misc.2d 828, 367 NYS2d 405.</w:t>
      </w:r>
    </w:p>
    <w:p w:rsidR="00000000" w:rsidRDefault="00537164">
      <w:pPr>
        <w:ind w:left="720"/>
        <w:rPr>
          <w:rFonts w:eastAsia="Times New Roman"/>
        </w:rPr>
      </w:pPr>
      <w:r>
        <w:rPr>
          <w:rFonts w:eastAsia="Times New Roman"/>
          <w:sz w:val="20"/>
          <w:szCs w:val="20"/>
        </w:rPr>
        <w:t xml:space="preserve">(22) See </w:t>
      </w:r>
      <w:r>
        <w:rPr>
          <w:rFonts w:eastAsia="Times New Roman"/>
          <w:i/>
          <w:iCs/>
          <w:sz w:val="20"/>
          <w:szCs w:val="20"/>
        </w:rPr>
        <w:t>Feldman v. Feldman</w:t>
      </w:r>
      <w:r>
        <w:rPr>
          <w:rFonts w:eastAsia="Times New Roman"/>
          <w:sz w:val="20"/>
          <w:szCs w:val="20"/>
        </w:rPr>
        <w:t xml:space="preserve"> (1974, 2d Dept) 45 App Div 2d 320, 358 NYS2d 507.</w:t>
      </w:r>
    </w:p>
    <w:p w:rsidR="00000000" w:rsidRDefault="00537164">
      <w:pPr>
        <w:ind w:left="720"/>
        <w:rPr>
          <w:rFonts w:eastAsia="Times New Roman"/>
        </w:rPr>
      </w:pPr>
      <w:r>
        <w:rPr>
          <w:rFonts w:eastAsia="Times New Roman"/>
          <w:sz w:val="20"/>
          <w:szCs w:val="20"/>
        </w:rPr>
        <w:t xml:space="preserve">(23) </w:t>
      </w:r>
      <w:r>
        <w:rPr>
          <w:rFonts w:eastAsia="Times New Roman"/>
          <w:i/>
          <w:iCs/>
          <w:sz w:val="20"/>
          <w:szCs w:val="20"/>
        </w:rPr>
        <w:t>Guinan v. Guinan</w:t>
      </w:r>
      <w:r>
        <w:rPr>
          <w:rFonts w:eastAsia="Times New Roman"/>
          <w:sz w:val="20"/>
          <w:szCs w:val="20"/>
        </w:rPr>
        <w:t xml:space="preserve"> (1984, 3d Dept.) 102 AD 2d 963, 477 NYS2d 830.</w:t>
      </w:r>
    </w:p>
    <w:p w:rsidR="00000000" w:rsidRDefault="00537164">
      <w:pPr>
        <w:ind w:left="720"/>
        <w:rPr>
          <w:rFonts w:eastAsia="Times New Roman"/>
        </w:rPr>
      </w:pPr>
      <w:r>
        <w:rPr>
          <w:rFonts w:eastAsia="Times New Roman"/>
          <w:sz w:val="20"/>
          <w:szCs w:val="20"/>
        </w:rPr>
        <w:t xml:space="preserve">(24) </w:t>
      </w:r>
      <w:r>
        <w:rPr>
          <w:rFonts w:eastAsia="Times New Roman"/>
          <w:i/>
          <w:iCs/>
          <w:sz w:val="20"/>
          <w:szCs w:val="20"/>
        </w:rPr>
        <w:t>Dornbusch v. Dornbusch</w:t>
      </w:r>
      <w:r>
        <w:rPr>
          <w:rFonts w:eastAsia="Times New Roman"/>
          <w:sz w:val="20"/>
          <w:szCs w:val="20"/>
        </w:rPr>
        <w:t xml:space="preserve"> (1985, 2d Dept) 110 App Div 2d 808,</w:t>
      </w:r>
      <w:r>
        <w:rPr>
          <w:rFonts w:eastAsia="Times New Roman"/>
          <w:sz w:val="20"/>
          <w:szCs w:val="20"/>
        </w:rPr>
        <w:t xml:space="preserve"> 488 NYS2d 229.</w:t>
      </w:r>
    </w:p>
    <w:p w:rsidR="00000000" w:rsidRDefault="00537164">
      <w:pPr>
        <w:ind w:left="720"/>
        <w:rPr>
          <w:rFonts w:eastAsia="Times New Roman"/>
        </w:rPr>
      </w:pPr>
      <w:r>
        <w:rPr>
          <w:rFonts w:eastAsia="Times New Roman"/>
          <w:sz w:val="20"/>
          <w:szCs w:val="20"/>
        </w:rPr>
        <w:t xml:space="preserve">(25) In </w:t>
      </w:r>
      <w:r>
        <w:rPr>
          <w:rFonts w:eastAsia="Times New Roman"/>
          <w:i/>
          <w:iCs/>
          <w:sz w:val="20"/>
          <w:szCs w:val="20"/>
        </w:rPr>
        <w:t>Meirowitz v. Meirowitz,</w:t>
      </w:r>
      <w:r>
        <w:rPr>
          <w:rFonts w:eastAsia="Times New Roman"/>
          <w:sz w:val="20"/>
          <w:szCs w:val="20"/>
        </w:rPr>
        <w:t xml:space="preserve"> 96 AD2d 1030, 466 NYS2d 434 (2d Dept., 1983), the court found that the husband implicitly agreed that the wife should be the custodial parent, when he moved out of the marital residence and left the child wit</w:t>
      </w:r>
      <w:r>
        <w:rPr>
          <w:rFonts w:eastAsia="Times New Roman"/>
          <w:sz w:val="20"/>
          <w:szCs w:val="20"/>
        </w:rPr>
        <w:t>h his wife.</w:t>
      </w:r>
    </w:p>
    <w:p w:rsidR="00000000" w:rsidRDefault="00537164">
      <w:pPr>
        <w:ind w:left="720"/>
        <w:rPr>
          <w:rFonts w:eastAsia="Times New Roman"/>
        </w:rPr>
      </w:pPr>
      <w:r>
        <w:rPr>
          <w:rFonts w:eastAsia="Times New Roman"/>
          <w:sz w:val="20"/>
          <w:szCs w:val="20"/>
        </w:rPr>
        <w:t xml:space="preserve">(26) </w:t>
      </w:r>
      <w:r>
        <w:rPr>
          <w:rFonts w:eastAsia="Times New Roman"/>
          <w:i/>
          <w:iCs/>
          <w:sz w:val="20"/>
          <w:szCs w:val="20"/>
        </w:rPr>
        <w:t>Application of Richman,</w:t>
      </w:r>
      <w:r>
        <w:rPr>
          <w:rFonts w:eastAsia="Times New Roman"/>
          <w:sz w:val="20"/>
          <w:szCs w:val="20"/>
        </w:rPr>
        <w:t xml:space="preserve"> 32 Misc.2d 1090, 227 NYS2d 42.</w:t>
      </w:r>
    </w:p>
    <w:p w:rsidR="00000000" w:rsidRDefault="00537164">
      <w:pPr>
        <w:ind w:left="720"/>
        <w:rPr>
          <w:rFonts w:eastAsia="Times New Roman"/>
        </w:rPr>
      </w:pPr>
      <w:r>
        <w:rPr>
          <w:rFonts w:eastAsia="Times New Roman"/>
          <w:sz w:val="20"/>
          <w:szCs w:val="20"/>
        </w:rPr>
        <w:t xml:space="preserve">(27) </w:t>
      </w:r>
      <w:r>
        <w:rPr>
          <w:rFonts w:eastAsia="Times New Roman"/>
          <w:i/>
          <w:iCs/>
          <w:sz w:val="20"/>
          <w:szCs w:val="20"/>
        </w:rPr>
        <w:t>Application of Reinhart,</w:t>
      </w:r>
      <w:r>
        <w:rPr>
          <w:rFonts w:eastAsia="Times New Roman"/>
          <w:sz w:val="20"/>
          <w:szCs w:val="20"/>
        </w:rPr>
        <w:t xml:space="preserve"> 33 Misc.2d 80, 227 NYS2d 39.</w:t>
      </w:r>
    </w:p>
    <w:p w:rsidR="00000000" w:rsidRDefault="00537164">
      <w:pPr>
        <w:ind w:left="720"/>
        <w:rPr>
          <w:rFonts w:eastAsia="Times New Roman"/>
        </w:rPr>
      </w:pPr>
      <w:r>
        <w:rPr>
          <w:rFonts w:eastAsia="Times New Roman"/>
          <w:sz w:val="20"/>
          <w:szCs w:val="20"/>
        </w:rPr>
        <w:t xml:space="preserve">(28) </w:t>
      </w:r>
      <w:r>
        <w:rPr>
          <w:rFonts w:eastAsia="Times New Roman"/>
          <w:i/>
          <w:iCs/>
          <w:sz w:val="20"/>
          <w:szCs w:val="20"/>
        </w:rPr>
        <w:t>Carpenter v. Carpenter</w:t>
      </w:r>
      <w:r>
        <w:rPr>
          <w:rFonts w:eastAsia="Times New Roman"/>
          <w:sz w:val="20"/>
          <w:szCs w:val="20"/>
        </w:rPr>
        <w:t>, 96 AD2d 607, 464 NYS2d 606 (3rd Dept, 1983).</w:t>
      </w:r>
    </w:p>
    <w:p w:rsidR="00000000" w:rsidRDefault="00537164">
      <w:pPr>
        <w:ind w:left="720"/>
        <w:rPr>
          <w:rFonts w:eastAsia="Times New Roman"/>
        </w:rPr>
      </w:pPr>
      <w:r>
        <w:rPr>
          <w:rFonts w:eastAsia="Times New Roman"/>
          <w:sz w:val="20"/>
          <w:szCs w:val="20"/>
        </w:rPr>
        <w:t xml:space="preserve">(29) </w:t>
      </w:r>
      <w:r>
        <w:rPr>
          <w:rFonts w:eastAsia="Times New Roman"/>
          <w:i/>
          <w:iCs/>
          <w:sz w:val="20"/>
          <w:szCs w:val="20"/>
        </w:rPr>
        <w:t>Eschbach v. Eschbach,</w:t>
      </w:r>
      <w:r>
        <w:rPr>
          <w:rFonts w:eastAsia="Times New Roman"/>
          <w:sz w:val="20"/>
          <w:szCs w:val="20"/>
        </w:rPr>
        <w:t xml:space="preserve"> supra.</w:t>
      </w:r>
    </w:p>
    <w:p w:rsidR="00000000" w:rsidRDefault="00537164">
      <w:pPr>
        <w:ind w:left="720"/>
        <w:rPr>
          <w:rFonts w:eastAsia="Times New Roman"/>
        </w:rPr>
      </w:pPr>
      <w:r>
        <w:rPr>
          <w:rFonts w:eastAsia="Times New Roman"/>
          <w:sz w:val="20"/>
          <w:szCs w:val="20"/>
        </w:rPr>
        <w:t xml:space="preserve">(30) </w:t>
      </w:r>
      <w:r>
        <w:rPr>
          <w:rFonts w:eastAsia="Times New Roman"/>
          <w:i/>
          <w:iCs/>
          <w:sz w:val="20"/>
          <w:szCs w:val="20"/>
        </w:rPr>
        <w:t>Ebert v. Ebe</w:t>
      </w:r>
      <w:r>
        <w:rPr>
          <w:rFonts w:eastAsia="Times New Roman"/>
          <w:i/>
          <w:iCs/>
          <w:sz w:val="20"/>
          <w:szCs w:val="20"/>
        </w:rPr>
        <w:t>rt,</w:t>
      </w:r>
      <w:r>
        <w:rPr>
          <w:rFonts w:eastAsia="Times New Roman"/>
          <w:sz w:val="20"/>
          <w:szCs w:val="20"/>
        </w:rPr>
        <w:t xml:space="preserve"> supra.</w:t>
      </w:r>
    </w:p>
    <w:p w:rsidR="00000000" w:rsidRDefault="00537164">
      <w:pPr>
        <w:ind w:left="720"/>
        <w:rPr>
          <w:rFonts w:eastAsia="Times New Roman"/>
        </w:rPr>
      </w:pPr>
      <w:r>
        <w:rPr>
          <w:rFonts w:eastAsia="Times New Roman"/>
          <w:sz w:val="20"/>
          <w:szCs w:val="20"/>
        </w:rPr>
        <w:t xml:space="preserve">(31) </w:t>
      </w:r>
      <w:r>
        <w:rPr>
          <w:rFonts w:eastAsia="Times New Roman"/>
          <w:i/>
          <w:iCs/>
          <w:sz w:val="20"/>
          <w:szCs w:val="20"/>
        </w:rPr>
        <w:t>Obey v. Degling,</w:t>
      </w:r>
      <w:r>
        <w:rPr>
          <w:rFonts w:eastAsia="Times New Roman"/>
          <w:sz w:val="20"/>
          <w:szCs w:val="20"/>
        </w:rPr>
        <w:t xml:space="preserve"> 37 NY2d 768, 375 NYS2d 91 (1975); </w:t>
      </w:r>
      <w:r>
        <w:rPr>
          <w:rFonts w:eastAsia="Times New Roman"/>
          <w:i/>
          <w:iCs/>
          <w:sz w:val="20"/>
          <w:szCs w:val="20"/>
        </w:rPr>
        <w:t xml:space="preserve">Ebert v. Ebert, </w:t>
      </w:r>
      <w:r>
        <w:rPr>
          <w:rFonts w:eastAsia="Times New Roman"/>
          <w:sz w:val="20"/>
          <w:szCs w:val="20"/>
        </w:rPr>
        <w:t>supra.</w:t>
      </w:r>
    </w:p>
    <w:p w:rsidR="00000000" w:rsidRDefault="00537164">
      <w:pPr>
        <w:ind w:left="720"/>
        <w:rPr>
          <w:rFonts w:eastAsia="Times New Roman"/>
        </w:rPr>
      </w:pPr>
      <w:r>
        <w:rPr>
          <w:rFonts w:eastAsia="Times New Roman"/>
          <w:sz w:val="20"/>
          <w:szCs w:val="20"/>
        </w:rPr>
        <w:t xml:space="preserve">(32) </w:t>
      </w:r>
      <w:r>
        <w:rPr>
          <w:rFonts w:eastAsia="Times New Roman"/>
          <w:i/>
          <w:iCs/>
          <w:sz w:val="20"/>
          <w:szCs w:val="20"/>
        </w:rPr>
        <w:t>Cohen v. Cohen,</w:t>
      </w:r>
      <w:r>
        <w:rPr>
          <w:rFonts w:eastAsia="Times New Roman"/>
          <w:sz w:val="20"/>
          <w:szCs w:val="20"/>
        </w:rPr>
        <w:t xml:space="preserve"> 70 AD2d 925, 417 NYS2d 755 (2d Dept., 1979).</w:t>
      </w:r>
    </w:p>
    <w:p w:rsidR="00000000" w:rsidRDefault="00537164">
      <w:pPr>
        <w:ind w:left="720"/>
        <w:rPr>
          <w:rFonts w:eastAsia="Times New Roman"/>
        </w:rPr>
      </w:pPr>
      <w:r>
        <w:rPr>
          <w:rFonts w:eastAsia="Times New Roman"/>
        </w:rPr>
        <w:t>*********</w:t>
      </w:r>
    </w:p>
    <w:p w:rsidR="00000000" w:rsidRDefault="00537164">
      <w:pPr>
        <w:rPr>
          <w:rFonts w:eastAsia="Times New Roman"/>
        </w:rPr>
      </w:pPr>
      <w:r>
        <w:rPr>
          <w:rFonts w:eastAsia="Times New Roman"/>
        </w:rPr>
        <w:pict>
          <v:rect id="_x0000_i1026" style="width:0;height:1.5pt" o:hralign="center" o:hrstd="t" o:hr="t" fillcolor="#a0a0a0" stroked="f"/>
        </w:pict>
      </w:r>
    </w:p>
    <w:p w:rsidR="00000000" w:rsidRDefault="00537164">
      <w:pPr>
        <w:pStyle w:val="NormalWeb"/>
        <w:rPr>
          <w:i/>
          <w:iCs/>
        </w:rPr>
      </w:pPr>
      <w:r>
        <w:rPr>
          <w:b/>
          <w:bCs/>
        </w:rPr>
        <w:t>Joel R. Brandes</w:t>
      </w:r>
      <w:r>
        <w:rPr>
          <w:b/>
          <w:bCs/>
        </w:rPr>
        <w:t xml:space="preserve"> </w:t>
      </w:r>
      <w:r>
        <w:rPr>
          <w:i/>
          <w:iCs/>
        </w:rPr>
        <w:t>has law offices in Garden City and New</w:t>
      </w:r>
      <w:r>
        <w:rPr>
          <w:i/>
          <w:iCs/>
        </w:rPr>
        <w:t xml:space="preserve"> York City. He co-authored the nine-volume </w:t>
      </w:r>
      <w:r>
        <w:t xml:space="preserve">Law and the Family New York </w:t>
      </w:r>
      <w:r>
        <w:rPr>
          <w:i/>
          <w:iCs/>
        </w:rPr>
        <w:t xml:space="preserve">and </w:t>
      </w:r>
      <w:r>
        <w:t xml:space="preserve">Law and the Family New York Forms </w:t>
      </w:r>
      <w:r>
        <w:rPr>
          <w:i/>
          <w:iCs/>
        </w:rPr>
        <w:t>(both, published by Westgroup).</w:t>
      </w:r>
      <w:r>
        <w:t xml:space="preserve"> </w:t>
      </w:r>
      <w:r>
        <w:rPr>
          <w:b/>
          <w:bCs/>
        </w:rPr>
        <w:t>Bari B. Brande</w:t>
      </w:r>
      <w:r>
        <w:rPr>
          <w:b/>
          <w:bCs/>
        </w:rPr>
        <w:t>s</w:t>
      </w:r>
      <w:r>
        <w:t xml:space="preserve">, a </w:t>
      </w:r>
      <w:r>
        <w:rPr>
          <w:i/>
          <w:iCs/>
        </w:rPr>
        <w:t>recent law graduate, assisted in the preparation of this article</w:t>
      </w:r>
      <w:r>
        <w:rPr>
          <w:i/>
          <w:iCs/>
        </w:rPr>
        <w:t>.</w:t>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537164"/>
    <w:rsid w:val="00537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3F7185-9853-44A0-8CCB-08D569CA8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93401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12940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ylj.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2018</Words>
  <Characters>10837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judging the best interest of the child. New York Divorce and Family Law, the definitive site about divorce, child support and custody.</vt:lpstr>
    </vt:vector>
  </TitlesOfParts>
  <Company/>
  <LinksUpToDate>false</LinksUpToDate>
  <CharactersWithSpaces>12830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judging the best interest of the child. New York Divorce and Family Law, the definitive site about divorce, child support and custody.</dc:title>
  <dc:subject/>
  <dc:creator>Joel Brandes</dc:creator>
  <cp:keywords/>
  <dc:description/>
  <cp:lastModifiedBy>Joel Brandes</cp:lastModifiedBy>
  <cp:revision>2</cp:revision>
  <dcterms:created xsi:type="dcterms:W3CDTF">2016-07-12T01:44:00Z</dcterms:created>
  <dcterms:modified xsi:type="dcterms:W3CDTF">2016-07-12T01:44:00Z</dcterms:modified>
</cp:coreProperties>
</file>