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2535C">
      <w:pPr>
        <w:rPr>
          <w:rFonts w:eastAsia="Times New Roman"/>
        </w:rPr>
      </w:pPr>
      <w:r>
        <w:rPr>
          <w:rFonts w:ascii="Arial" w:eastAsia="Times New Roman" w:hAnsi="Arial" w:cs="Arial"/>
          <w:b/>
          <w:bCs/>
        </w:rPr>
        <w:t> </w:t>
      </w:r>
      <w:bookmarkStart w:id="0" w:name="_GoBack"/>
      <w:bookmarkEnd w:id="0"/>
    </w:p>
    <w:p w:rsidR="00000000" w:rsidRDefault="0082535C">
      <w:pPr>
        <w:rPr>
          <w:rFonts w:eastAsia="Times New Roman"/>
        </w:rPr>
      </w:pPr>
      <w:r>
        <w:rPr>
          <w:rFonts w:eastAsia="Times New Roman"/>
        </w:rPr>
        <w:pict>
          <v:rect id="_x0000_i1025" style="width:0;height:1.5pt" o:hralign="center" o:hrstd="t" o:hr="t" fillcolor="#a0a0a0" stroked="f"/>
        </w:pict>
      </w:r>
    </w:p>
    <w:p w:rsidR="00000000" w:rsidRDefault="0082535C">
      <w:pPr>
        <w:pStyle w:val="Heading3"/>
        <w:jc w:val="center"/>
        <w:rPr>
          <w:rFonts w:eastAsia="Times New Roman"/>
        </w:rPr>
      </w:pPr>
      <w:r>
        <w:rPr>
          <w:rFonts w:ascii="Arial" w:eastAsia="Times New Roman" w:hAnsi="Arial" w:cs="Arial"/>
          <w:color w:val="FF00FF"/>
          <w:sz w:val="24"/>
          <w:szCs w:val="24"/>
        </w:rPr>
        <w:t>- Antenuptual or Pre-Marital Agreements FAQ's -</w:t>
      </w:r>
    </w:p>
    <w:p w:rsidR="00000000" w:rsidRDefault="0082535C">
      <w:pPr>
        <w:rPr>
          <w:rFonts w:eastAsia="Times New Roman"/>
        </w:rPr>
      </w:pPr>
      <w:r>
        <w:rPr>
          <w:rFonts w:eastAsia="Times New Roman"/>
        </w:rPr>
        <w:pict>
          <v:rect id="_x0000_i1026" style="width:0;height:1.5pt" o:hralign="center" o:hrstd="t" o:hr="t" fillcolor="#a0a0a0" stroked="f"/>
        </w:pic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Is there anything I can do before getting married to limit my obligations to my prospective spouse in the event the marriage fails and w</w:t>
      </w:r>
      <w:r>
        <w:rPr>
          <w:rFonts w:ascii="Arial" w:eastAsia="Times New Roman" w:hAnsi="Arial" w:cs="Arial"/>
          <w:b/>
          <w:bCs/>
        </w:rPr>
        <w:t>e get divorced?</w:t>
      </w:r>
    </w:p>
    <w:p w:rsidR="00000000" w:rsidRDefault="0082535C">
      <w:pPr>
        <w:pStyle w:val="Heading4"/>
        <w:ind w:left="720"/>
        <w:divId w:val="1796945782"/>
        <w:rPr>
          <w:rFonts w:eastAsia="Times New Roman"/>
        </w:rPr>
      </w:pPr>
      <w:r>
        <w:rPr>
          <w:rFonts w:ascii="Arial" w:eastAsia="Times New Roman" w:hAnsi="Arial" w:cs="Arial"/>
        </w:rPr>
        <w:t xml:space="preserve">You may enter into an antenuptial agreement. </w: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What is an Antenuptial Agreement?</w:t>
      </w:r>
    </w:p>
    <w:p w:rsidR="00000000" w:rsidRDefault="0082535C">
      <w:pPr>
        <w:pStyle w:val="Heading4"/>
        <w:ind w:left="720"/>
        <w:divId w:val="1228804139"/>
        <w:rPr>
          <w:rFonts w:eastAsia="Times New Roman"/>
        </w:rPr>
      </w:pPr>
      <w:r>
        <w:rPr>
          <w:rFonts w:ascii="Arial" w:eastAsia="Times New Roman" w:hAnsi="Arial" w:cs="Arial"/>
        </w:rPr>
        <w:t>It is a contract made between prospective spouses in contemplation of marriage in which they define their property rights during marriage and in the event of de</w:t>
      </w:r>
      <w:r>
        <w:rPr>
          <w:rFonts w:ascii="Arial" w:eastAsia="Times New Roman" w:hAnsi="Arial" w:cs="Arial"/>
        </w:rPr>
        <w:t xml:space="preserve">ath or a divorce. It becomes effective upon marriage. </w: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What Can We Agree To in an Antenuptual Agreement?</w:t>
      </w:r>
    </w:p>
    <w:p w:rsidR="00000000" w:rsidRDefault="0082535C">
      <w:pPr>
        <w:numPr>
          <w:ilvl w:val="1"/>
          <w:numId w:val="1"/>
        </w:numPr>
        <w:spacing w:before="100" w:beforeAutospacing="1" w:after="100" w:afterAutospacing="1"/>
        <w:divId w:val="1551303511"/>
        <w:rPr>
          <w:rFonts w:eastAsia="Times New Roman"/>
        </w:rPr>
      </w:pPr>
      <w:r>
        <w:rPr>
          <w:rFonts w:ascii="Arial" w:eastAsia="Times New Roman" w:hAnsi="Arial" w:cs="Arial"/>
          <w:b/>
          <w:bCs/>
        </w:rPr>
        <w:t>You may agree as to ownership of property acquired after marriage which may serve in lieu of equitable distribution in the event of a divorce.</w:t>
      </w:r>
    </w:p>
    <w:p w:rsidR="00000000" w:rsidRDefault="0082535C">
      <w:pPr>
        <w:numPr>
          <w:ilvl w:val="1"/>
          <w:numId w:val="1"/>
        </w:numPr>
        <w:spacing w:before="100" w:beforeAutospacing="1" w:after="100" w:afterAutospacing="1"/>
        <w:divId w:val="1551303511"/>
        <w:rPr>
          <w:rFonts w:eastAsia="Times New Roman"/>
        </w:rPr>
      </w:pPr>
      <w:r>
        <w:rPr>
          <w:rFonts w:ascii="Arial" w:eastAsia="Times New Roman" w:hAnsi="Arial" w:cs="Arial"/>
          <w:b/>
          <w:bCs/>
        </w:rPr>
        <w:t xml:space="preserve">You may </w:t>
      </w:r>
      <w:r>
        <w:rPr>
          <w:rFonts w:ascii="Arial" w:eastAsia="Times New Roman" w:hAnsi="Arial" w:cs="Arial"/>
          <w:b/>
          <w:bCs/>
        </w:rPr>
        <w:t xml:space="preserve">vary substantially property rights that would otherwise arise on marriage. </w:t>
      </w:r>
    </w:p>
    <w:p w:rsidR="00000000" w:rsidRDefault="0082535C">
      <w:pPr>
        <w:numPr>
          <w:ilvl w:val="1"/>
          <w:numId w:val="1"/>
        </w:numPr>
        <w:spacing w:before="100" w:beforeAutospacing="1" w:after="100" w:afterAutospacing="1"/>
        <w:divId w:val="1551303511"/>
        <w:rPr>
          <w:rFonts w:eastAsia="Times New Roman"/>
        </w:rPr>
      </w:pPr>
      <w:r>
        <w:rPr>
          <w:rFonts w:ascii="Arial" w:eastAsia="Times New Roman" w:hAnsi="Arial" w:cs="Arial"/>
          <w:b/>
          <w:bCs/>
        </w:rPr>
        <w:t xml:space="preserve">You may agree to release rights in each other's estate. </w:t>
      </w:r>
    </w:p>
    <w:p w:rsidR="00000000" w:rsidRDefault="0082535C">
      <w:pPr>
        <w:numPr>
          <w:ilvl w:val="1"/>
          <w:numId w:val="1"/>
        </w:numPr>
        <w:spacing w:before="100" w:beforeAutospacing="1" w:after="100" w:afterAutospacing="1"/>
        <w:divId w:val="1551303511"/>
        <w:rPr>
          <w:rFonts w:eastAsia="Times New Roman"/>
        </w:rPr>
      </w:pPr>
      <w:r>
        <w:rPr>
          <w:rFonts w:ascii="Arial" w:eastAsia="Times New Roman" w:hAnsi="Arial" w:cs="Arial"/>
          <w:b/>
          <w:bCs/>
        </w:rPr>
        <w:t>You are free, within limits, to set the amount and duration of support or maintenance in the event of a divorce or separati</w:t>
      </w:r>
      <w:r>
        <w:rPr>
          <w:rFonts w:ascii="Arial" w:eastAsia="Times New Roman" w:hAnsi="Arial" w:cs="Arial"/>
          <w:b/>
          <w:bCs/>
        </w:rPr>
        <w:t xml:space="preserve">on. </w:t>
      </w:r>
    </w:p>
    <w:p w:rsidR="00000000" w:rsidRDefault="0082535C">
      <w:pPr>
        <w:numPr>
          <w:ilvl w:val="1"/>
          <w:numId w:val="1"/>
        </w:numPr>
        <w:spacing w:before="100" w:beforeAutospacing="1" w:after="100" w:afterAutospacing="1"/>
        <w:divId w:val="1551303511"/>
        <w:rPr>
          <w:rFonts w:eastAsia="Times New Roman"/>
        </w:rPr>
      </w:pPr>
      <w:r>
        <w:rPr>
          <w:rFonts w:ascii="Arial" w:eastAsia="Times New Roman" w:hAnsi="Arial" w:cs="Arial"/>
          <w:b/>
          <w:bCs/>
        </w:rPr>
        <w:t xml:space="preserve">You may, within limits, waive your rights to maintenance, equitable distribution and counsel fees, in the event of a divorce or separation. </w: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Can We Waive Rights with Regard to Children?</w:t>
      </w:r>
    </w:p>
    <w:p w:rsidR="00000000" w:rsidRDefault="0082535C">
      <w:pPr>
        <w:pStyle w:val="Heading4"/>
        <w:ind w:left="720"/>
        <w:divId w:val="893584644"/>
        <w:rPr>
          <w:rFonts w:eastAsia="Times New Roman"/>
        </w:rPr>
      </w:pPr>
      <w:r>
        <w:rPr>
          <w:rFonts w:ascii="Arial" w:eastAsia="Times New Roman" w:hAnsi="Arial" w:cs="Arial"/>
        </w:rPr>
        <w:t>Child support provisions are governed by different rules that tak</w:t>
      </w:r>
      <w:r>
        <w:rPr>
          <w:rFonts w:ascii="Arial" w:eastAsia="Times New Roman" w:hAnsi="Arial" w:cs="Arial"/>
        </w:rPr>
        <w:t>e into account a child's needs and best interests and the state's concern as to the welfare of children. Waivers of child support are invalid. Agreements as to child custody and visitation will not be upheld because as the welfare of the child born after m</w:t>
      </w:r>
      <w:r>
        <w:rPr>
          <w:rFonts w:ascii="Arial" w:eastAsia="Times New Roman" w:hAnsi="Arial" w:cs="Arial"/>
        </w:rPr>
        <w:t xml:space="preserve">arriage will override. </w: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Can We Waive Pension Rights?</w:t>
      </w:r>
    </w:p>
    <w:p w:rsidR="00000000" w:rsidRDefault="0082535C">
      <w:pPr>
        <w:pStyle w:val="Heading4"/>
        <w:ind w:left="720"/>
        <w:divId w:val="53284525"/>
        <w:rPr>
          <w:rFonts w:eastAsia="Times New Roman"/>
        </w:rPr>
      </w:pPr>
      <w:r>
        <w:rPr>
          <w:rFonts w:ascii="Arial" w:eastAsia="Times New Roman" w:hAnsi="Arial" w:cs="Arial"/>
        </w:rPr>
        <w:t xml:space="preserve">No. A written release in an antenuptial agreement of all claims to spousal benefits as a surviving spouse under an employee </w:t>
      </w:r>
      <w:r>
        <w:rPr>
          <w:rFonts w:ascii="Arial" w:eastAsia="Times New Roman" w:hAnsi="Arial" w:cs="Arial"/>
        </w:rPr>
        <w:lastRenderedPageBreak/>
        <w:t xml:space="preserve">benefit plan of a prospective spouse is not an effective or valid waiver under </w:t>
      </w:r>
      <w:r>
        <w:rPr>
          <w:rFonts w:ascii="Arial" w:eastAsia="Times New Roman" w:hAnsi="Arial" w:cs="Arial"/>
        </w:rPr>
        <w:t xml:space="preserve">the Federal Employee Retirement Income Security Act. </w:t>
      </w:r>
    </w:p>
    <w:p w:rsidR="00000000" w:rsidRDefault="0082535C">
      <w:pPr>
        <w:numPr>
          <w:ilvl w:val="0"/>
          <w:numId w:val="1"/>
        </w:numPr>
        <w:spacing w:before="100" w:beforeAutospacing="1" w:after="100" w:afterAutospacing="1"/>
        <w:rPr>
          <w:rFonts w:eastAsia="Times New Roman"/>
        </w:rPr>
      </w:pPr>
      <w:r>
        <w:rPr>
          <w:rFonts w:ascii="Arial" w:eastAsia="Times New Roman" w:hAnsi="Arial" w:cs="Arial"/>
          <w:b/>
          <w:bCs/>
        </w:rPr>
        <w:t>Must an antenuptual agreement be in a specific format?</w:t>
      </w:r>
    </w:p>
    <w:p w:rsidR="00000000" w:rsidRDefault="0082535C">
      <w:pPr>
        <w:pStyle w:val="Heading4"/>
        <w:ind w:left="720"/>
        <w:divId w:val="465440513"/>
        <w:rPr>
          <w:rFonts w:eastAsia="Times New Roman"/>
        </w:rPr>
      </w:pPr>
      <w:r>
        <w:rPr>
          <w:rFonts w:ascii="Arial" w:eastAsia="Times New Roman" w:hAnsi="Arial" w:cs="Arial"/>
        </w:rPr>
        <w:t xml:space="preserve">Certain formalities are essential. To be valid and enforceable in a matrimonial action, the agreement must be in writing and it must be subscribed </w:t>
      </w:r>
      <w:r>
        <w:rPr>
          <w:rFonts w:ascii="Arial" w:eastAsia="Times New Roman" w:hAnsi="Arial" w:cs="Arial"/>
        </w:rPr>
        <w:t xml:space="preserve">and acknowledged or proved in the manner required to entitle a deed to be recorded.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6694B"/>
    <w:multiLevelType w:val="multilevel"/>
    <w:tmpl w:val="64A0E8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2535C"/>
    <w:rsid w:val="0082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EDDE94-5295-4AA8-B53B-8963B7A7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52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440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58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80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0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4578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PreMarital. New York Divorce and Family Law, the definitive site about divorce, child support and custody.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New York Divorce and Family Law, the definitive site about divorce, child support and custody.</dc:title>
  <dc:subject/>
  <dc:creator>Joel Brandes</dc:creator>
  <cp:keywords/>
  <dc:description/>
  <cp:lastModifiedBy>Joel Brandes</cp:lastModifiedBy>
  <cp:revision>2</cp:revision>
  <dcterms:created xsi:type="dcterms:W3CDTF">2016-07-15T11:30:00Z</dcterms:created>
  <dcterms:modified xsi:type="dcterms:W3CDTF">2016-07-15T11:30:00Z</dcterms:modified>
</cp:coreProperties>
</file>