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E9A">
      <w:pPr>
        <w:pStyle w:val="NormalWeb"/>
      </w:pPr>
      <w:r>
        <w:t> </w:t>
      </w:r>
    </w:p>
    <w:p w:rsidR="00000000" w:rsidRDefault="000F2E9A">
      <w:pPr>
        <w:pStyle w:val="NormalWeb"/>
      </w:pPr>
      <w:r>
        <w:rPr>
          <w:b/>
          <w:bCs/>
          <w:u w:val="single"/>
        </w:rPr>
        <w:t>What is a divorce or separation instrument?</w:t>
      </w:r>
    </w:p>
    <w:p w:rsidR="00000000" w:rsidRDefault="000F2E9A">
      <w:pPr>
        <w:pStyle w:val="NormalWeb"/>
      </w:pPr>
      <w:r>
        <w:t> </w:t>
      </w:r>
    </w:p>
    <w:p w:rsidR="00000000" w:rsidRDefault="000F2E9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Divorce or Separation Instrument Defined.</w:t>
      </w:r>
    </w:p>
    <w:p w:rsidR="00000000" w:rsidRDefault="000F2E9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purposes of the Federal Income Tax laws, the following qualify as a "divorce or separation instrument:"</w:t>
      </w:r>
    </w:p>
    <w:p w:rsidR="00000000" w:rsidRDefault="000F2E9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--a decree of divorce or separate maintenance. IRC $ 71(b)(2)(A).</w:t>
      </w:r>
    </w:p>
    <w:p w:rsidR="00000000" w:rsidRDefault="000F2E9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decree or judgment of divorce is one that dissolves the marriage. A decree or judgment of separate maintenance or separation is one where the parties live separate and apart, although stil</w:t>
      </w:r>
      <w:r>
        <w:rPr>
          <w:rFonts w:ascii="Arial" w:hAnsi="Arial" w:cs="Arial"/>
          <w:b/>
          <w:bCs/>
        </w:rPr>
        <w:t>l married. It has been held, for purposes of determining the treatment of alimony payments, that an annulment has the same effect as a divorce decree. G.F. Reisman, 49 TC 570, Dec. 28, 865 (acq); A.M. Newberger, 61 TC 457, Dec 32, 411 (acq).</w:t>
      </w:r>
    </w:p>
    <w:p w:rsidR="00000000" w:rsidRDefault="000F2E9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--a written in</w:t>
      </w:r>
      <w:r>
        <w:rPr>
          <w:rFonts w:ascii="Arial" w:hAnsi="Arial" w:cs="Arial"/>
          <w:b/>
          <w:bCs/>
        </w:rPr>
        <w:t>strument incident to a decree of divorce or separate maintenance. IRC $ 71 (b)(2)(A).</w:t>
      </w:r>
    </w:p>
    <w:p w:rsidR="00000000" w:rsidRDefault="000F2E9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--a decree or order that requires one spouse to make payments for the support or maintenance of the other spouse, IRC $ 71 (b)(2)(c).</w:t>
      </w:r>
    </w:p>
    <w:p w:rsidR="00000000" w:rsidRDefault="000F2E9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even if the taxpayer is living with </w:t>
      </w:r>
      <w:r>
        <w:rPr>
          <w:rFonts w:ascii="Arial" w:hAnsi="Arial" w:cs="Arial"/>
          <w:b/>
          <w:bCs/>
        </w:rPr>
        <w:t>that spouse. IRC $ 71 (b)(1)(c).</w:t>
      </w:r>
    </w:p>
    <w:p w:rsidR="00000000" w:rsidRDefault="000F2E9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Payments made under a support order include maintenance pendente lite, Reg $ 1.71-IT Q4. support paid under an interlocutory divorce judgment Reg $ 1.71-(b)(3).</w:t>
      </w:r>
    </w:p>
    <w:p w:rsidR="00000000" w:rsidRDefault="000F2E9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 amounts paid pursuant to a support statute. Rev Rul 71-390,</w:t>
      </w:r>
      <w:r>
        <w:rPr>
          <w:rFonts w:ascii="Arial" w:hAnsi="Arial" w:cs="Arial"/>
          <w:b/>
          <w:bCs/>
        </w:rPr>
        <w:t xml:space="preserve"> 1971-2 CB 82.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0F2E9A"/>
    <w:rsid w:val="000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divorce or separation instrument. New York Divorce and Family Law, the definitive site about divorce, child support and custody.</dc:title>
  <dc:creator>Joel R. Brandes</dc:creator>
  <cp:lastModifiedBy>Joel R. Brandes</cp:lastModifiedBy>
  <cp:revision>2</cp:revision>
  <dcterms:created xsi:type="dcterms:W3CDTF">2016-07-15T19:58:00Z</dcterms:created>
  <dcterms:modified xsi:type="dcterms:W3CDTF">2016-07-15T19:58:00Z</dcterms:modified>
</cp:coreProperties>
</file>