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84C17">
      <w:pPr>
        <w:pStyle w:val="NormalWeb"/>
      </w:pPr>
      <w:bookmarkStart w:id="0" w:name="_GoBack"/>
      <w:bookmarkEnd w:id="0"/>
      <w:r>
        <w:t> </w:t>
      </w:r>
    </w:p>
    <w:p w:rsidR="00000000" w:rsidRDefault="00484C17">
      <w:pPr>
        <w:rPr>
          <w:rFonts w:eastAsia="Times New Roman"/>
        </w:rPr>
      </w:pPr>
      <w:r>
        <w:rPr>
          <w:rFonts w:eastAsia="Times New Roman"/>
        </w:rPr>
        <w:pict>
          <v:rect id="_x0000_i1025" style="width:0;height:1.5pt" o:hralign="center" o:hrstd="t" o:hr="t" fillcolor="#a0a0a0" stroked="f"/>
        </w:pict>
      </w:r>
    </w:p>
    <w:p w:rsidR="00000000" w:rsidRDefault="00484C17">
      <w:pPr>
        <w:pStyle w:val="NormalWeb"/>
      </w:pPr>
      <w:r>
        <w:t> </w:t>
      </w:r>
    </w:p>
    <w:p w:rsidR="00000000" w:rsidRDefault="00484C17">
      <w:pPr>
        <w:pStyle w:val="NormalWeb"/>
      </w:pPr>
      <w:r>
        <w:t>LAW AND THE FAMILY</w:t>
      </w:r>
    </w:p>
    <w:p w:rsidR="00000000" w:rsidRDefault="00484C17">
      <w:pPr>
        <w:pStyle w:val="Heading2"/>
        <w:divId w:val="1455634302"/>
        <w:rPr>
          <w:rFonts w:eastAsia="Times New Roman"/>
        </w:rPr>
      </w:pPr>
      <w:r>
        <w:rPr>
          <w:rFonts w:eastAsia="Times New Roman"/>
        </w:rPr>
        <w:t>The Validity of Prenuptial Agreements</w:t>
      </w:r>
    </w:p>
    <w:p w:rsidR="00000000" w:rsidRDefault="00484C17">
      <w:pPr>
        <w:pStyle w:val="NormalWeb"/>
        <w:divId w:val="1455634302"/>
      </w:pPr>
      <w:r>
        <w:t>Joel R. Brandes</w:t>
      </w:r>
    </w:p>
    <w:p w:rsidR="00000000" w:rsidRDefault="00484C17">
      <w:pPr>
        <w:pStyle w:val="NormalWeb"/>
        <w:divId w:val="1455634302"/>
      </w:pPr>
      <w:hyperlink r:id="rId4" w:history="1">
        <w:r>
          <w:rPr>
            <w:rStyle w:val="Hyperlink"/>
          </w:rPr>
          <w:t>New York Law Journal</w:t>
        </w:r>
      </w:hyperlink>
      <w:r>
        <w:br/>
        <w:t>December 22, 1998</w:t>
      </w:r>
    </w:p>
    <w:p w:rsidR="00000000" w:rsidRDefault="00484C17">
      <w:pPr>
        <w:pStyle w:val="NormalWeb"/>
        <w:divId w:val="1455634302"/>
      </w:pPr>
      <w:r>
        <w:rPr>
          <w:rFonts w:ascii="Arial" w:hAnsi="Arial" w:cs="Arial"/>
          <w:sz w:val="72"/>
          <w:szCs w:val="72"/>
        </w:rPr>
        <w:t>P</w:t>
      </w:r>
      <w:r>
        <w:rPr>
          <w:rFonts w:ascii="Arial" w:hAnsi="Arial" w:cs="Arial"/>
        </w:rPr>
        <w:t>ROPERTY SETTLEMENTS are encouraged as consistent with the public pol</w:t>
      </w:r>
      <w:r>
        <w:rPr>
          <w:rFonts w:ascii="Arial" w:hAnsi="Arial" w:cs="Arial"/>
        </w:rPr>
        <w:t>icy of New York. Such settlements in prenuptial agreements must be fair and reasonable and not tainted with fraud, misrepresentation, coercion or imposition. In the absence of such taints, these agreements have been presumed to be valid, and the party alle</w:t>
      </w:r>
      <w:r>
        <w:rPr>
          <w:rFonts w:ascii="Arial" w:hAnsi="Arial" w:cs="Arial"/>
        </w:rPr>
        <w:t>ging taints or defects has had the burden of proof to establish their invalidity.</w:t>
      </w:r>
      <w:hyperlink w:anchor="bottom" w:history="1">
        <w:r>
          <w:rPr>
            <w:rStyle w:val="Hyperlink"/>
            <w:rFonts w:ascii="Arial" w:hAnsi="Arial" w:cs="Arial"/>
          </w:rPr>
          <w:t>1</w:t>
        </w:r>
      </w:hyperlink>
    </w:p>
    <w:p w:rsidR="00000000" w:rsidRDefault="00484C17">
      <w:pPr>
        <w:pStyle w:val="NormalWeb"/>
        <w:divId w:val="1455634302"/>
      </w:pPr>
      <w:r>
        <w:rPr>
          <w:rFonts w:ascii="Arial" w:hAnsi="Arial" w:cs="Arial"/>
        </w:rPr>
        <w:t>Domestic Relations Law (DRL) §236,[B](3), enacted in 1980, attempted to modernize the New York law dealing with prenuptial agreements and with a</w:t>
      </w:r>
      <w:r>
        <w:rPr>
          <w:rFonts w:ascii="Arial" w:hAnsi="Arial" w:cs="Arial"/>
        </w:rPr>
        <w:t>greements made between spouses during their marriage. Such agreements are commonly referred to as a "stipulation of settlement," "property settlement," "settlement agreement" or "opting out agreement" (referred to as "settlement agreements" in this article</w:t>
      </w:r>
      <w:r>
        <w:rPr>
          <w:rFonts w:ascii="Arial" w:hAnsi="Arial" w:cs="Arial"/>
        </w:rPr>
        <w:t>).</w:t>
      </w:r>
    </w:p>
    <w:p w:rsidR="00000000" w:rsidRDefault="00484C17">
      <w:pPr>
        <w:pStyle w:val="NormalWeb"/>
        <w:divId w:val="1696954857"/>
      </w:pPr>
      <w:r>
        <w:rPr>
          <w:rFonts w:ascii="Arial" w:hAnsi="Arial" w:cs="Arial"/>
        </w:rPr>
        <w:t>The subject matter of such agreements includes:</w:t>
      </w:r>
    </w:p>
    <w:p w:rsidR="00000000" w:rsidRDefault="00484C17">
      <w:pPr>
        <w:pStyle w:val="NormalWeb"/>
        <w:divId w:val="409012402"/>
      </w:pPr>
      <w:r>
        <w:rPr>
          <w:rFonts w:ascii="Arial" w:hAnsi="Arial" w:cs="Arial"/>
        </w:rPr>
        <w:t>1) a contract to make a testamentary provision of any kind, or a waiver of any right to elect against the provisions of a will; (2) provision for the ownership, division or distribution of separate and mar</w:t>
      </w:r>
      <w:r>
        <w:rPr>
          <w:rFonts w:ascii="Arial" w:hAnsi="Arial" w:cs="Arial"/>
        </w:rPr>
        <w:t>ital property; (3) provision for the amount and duration of maintenance or other terms and conditions of the marriage relationship, subject to the provisions of §5-311 of the General Obligations Law, and provided that such terms were fair and reasonable at</w:t>
      </w:r>
      <w:r>
        <w:rPr>
          <w:rFonts w:ascii="Arial" w:hAnsi="Arial" w:cs="Arial"/>
        </w:rPr>
        <w:t xml:space="preserve"> the time of the making of the agreement and are not unconscionable at the time of entry of final judgment; and (4) provision for custody, care, education and maintenance of any child of the parties.</w:t>
      </w:r>
    </w:p>
    <w:p w:rsidR="00000000" w:rsidRDefault="00484C17">
      <w:pPr>
        <w:pStyle w:val="NormalWeb"/>
      </w:pPr>
      <w:r>
        <w:rPr>
          <w:rFonts w:ascii="Arial" w:hAnsi="Arial" w:cs="Arial"/>
        </w:rPr>
        <w:lastRenderedPageBreak/>
        <w:t xml:space="preserve">Where a settlement agreement has been incorporated into </w:t>
      </w:r>
      <w:r>
        <w:rPr>
          <w:rFonts w:ascii="Arial" w:hAnsi="Arial" w:cs="Arial"/>
        </w:rPr>
        <w:t>a judgment that is valid on its face,</w:t>
      </w:r>
      <w:hyperlink w:anchor="bottom" w:history="1">
        <w:r>
          <w:rPr>
            <w:rStyle w:val="Hyperlink"/>
            <w:rFonts w:ascii="Arial" w:hAnsi="Arial" w:cs="Arial"/>
          </w:rPr>
          <w:t>2</w:t>
        </w:r>
      </w:hyperlink>
      <w:r>
        <w:rPr>
          <w:rFonts w:ascii="Arial" w:hAnsi="Arial" w:cs="Arial"/>
        </w:rPr>
        <w:t xml:space="preserve"> collateral attack is inhibited. Representation by experienced counsel</w:t>
      </w:r>
      <w:hyperlink w:anchor="bottom" w:history="1">
        <w:r>
          <w:rPr>
            <w:rStyle w:val="Hyperlink"/>
            <w:rFonts w:ascii="Arial" w:hAnsi="Arial" w:cs="Arial"/>
          </w:rPr>
          <w:t>3</w:t>
        </w:r>
      </w:hyperlink>
      <w:r>
        <w:rPr>
          <w:rFonts w:ascii="Arial" w:hAnsi="Arial" w:cs="Arial"/>
        </w:rPr>
        <w:t xml:space="preserve"> and ratification</w:t>
      </w:r>
      <w:hyperlink w:anchor="bottom" w:history="1">
        <w:r>
          <w:rPr>
            <w:rStyle w:val="Hyperlink"/>
            <w:rFonts w:ascii="Arial" w:hAnsi="Arial" w:cs="Arial"/>
          </w:rPr>
          <w:t>4</w:t>
        </w:r>
      </w:hyperlink>
      <w:r>
        <w:rPr>
          <w:rFonts w:ascii="Arial" w:hAnsi="Arial" w:cs="Arial"/>
        </w:rPr>
        <w:t xml:space="preserve"> of the agreement, or laches,</w:t>
      </w:r>
      <w:hyperlink w:anchor="bottom" w:history="1">
        <w:r>
          <w:rPr>
            <w:rStyle w:val="Hyperlink"/>
            <w:rFonts w:ascii="Arial" w:hAnsi="Arial" w:cs="Arial"/>
          </w:rPr>
          <w:t>5</w:t>
        </w:r>
      </w:hyperlink>
      <w:r>
        <w:rPr>
          <w:rFonts w:ascii="Arial" w:hAnsi="Arial" w:cs="Arial"/>
        </w:rPr>
        <w:t xml:space="preserve"> also inhibit or bar subsequent challenges to the validity of the agreement.</w:t>
      </w:r>
    </w:p>
    <w:p w:rsidR="00000000" w:rsidRDefault="00484C17">
      <w:pPr>
        <w:pStyle w:val="NormalWeb"/>
      </w:pPr>
      <w:r>
        <w:rPr>
          <w:rFonts w:ascii="Arial" w:hAnsi="Arial" w:cs="Arial"/>
          <w:b/>
          <w:bCs/>
        </w:rPr>
        <w:t>The Issue of Disclosure</w:t>
      </w:r>
      <w:r>
        <w:t xml:space="preserve"> </w:t>
      </w:r>
    </w:p>
    <w:p w:rsidR="00000000" w:rsidRDefault="00484C17">
      <w:pPr>
        <w:ind w:left="720"/>
        <w:rPr>
          <w:rFonts w:eastAsia="Times New Roman"/>
        </w:rPr>
      </w:pPr>
      <w:r>
        <w:rPr>
          <w:rFonts w:ascii="Arial" w:eastAsia="Times New Roman" w:hAnsi="Arial" w:cs="Arial"/>
        </w:rPr>
        <w:t>Perhaps the most intriguing issue relates to nondisclosure. During marriage spouses are subject to the special duties imposed by their co</w:t>
      </w:r>
      <w:r>
        <w:rPr>
          <w:rFonts w:ascii="Arial" w:eastAsia="Times New Roman" w:hAnsi="Arial" w:cs="Arial"/>
        </w:rPr>
        <w:t xml:space="preserve">nfidential relationship. As noted in </w:t>
      </w:r>
      <w:r>
        <w:rPr>
          <w:rFonts w:ascii="Arial" w:eastAsia="Times New Roman" w:hAnsi="Arial" w:cs="Arial"/>
          <w:i/>
          <w:iCs/>
        </w:rPr>
        <w:t>Christian v. Christian</w:t>
      </w:r>
      <w:r>
        <w:rPr>
          <w:rFonts w:ascii="Arial" w:eastAsia="Times New Roman" w:hAnsi="Arial" w:cs="Arial"/>
        </w:rPr>
        <w:t>,</w:t>
      </w:r>
      <w:hyperlink w:anchor="bottom" w:history="1">
        <w:r>
          <w:rPr>
            <w:rStyle w:val="Hyperlink"/>
            <w:rFonts w:ascii="Arial" w:eastAsia="Times New Roman" w:hAnsi="Arial" w:cs="Arial"/>
          </w:rPr>
          <w:t>6</w:t>
        </w:r>
      </w:hyperlink>
      <w:r>
        <w:rPr>
          <w:rFonts w:ascii="Arial" w:eastAsia="Times New Roman" w:hAnsi="Arial" w:cs="Arial"/>
        </w:rPr>
        <w:t xml:space="preserve"> </w:t>
      </w:r>
      <w:r>
        <w:rPr>
          <w:rFonts w:ascii="Arial" w:eastAsia="Times New Roman" w:hAnsi="Arial" w:cs="Arial"/>
        </w:rPr>
        <w:t>those fiduciary duties are imposed independently of any statute. In addition, the spirit and the letter of the Equitable Distribution Law (EDL) requires full disclosure between spouses, and to "opt out" of the statutory system there must be a full and comp</w:t>
      </w:r>
      <w:r>
        <w:rPr>
          <w:rFonts w:ascii="Arial" w:eastAsia="Times New Roman" w:hAnsi="Arial" w:cs="Arial"/>
        </w:rPr>
        <w:t xml:space="preserve">lete disclosure of all financial data unless, </w:t>
      </w:r>
      <w:r>
        <w:rPr>
          <w:rFonts w:ascii="Arial" w:eastAsia="Times New Roman" w:hAnsi="Arial" w:cs="Arial"/>
          <w:i/>
          <w:iCs/>
        </w:rPr>
        <w:t>perhaps</w:t>
      </w:r>
      <w:r>
        <w:rPr>
          <w:rFonts w:ascii="Arial" w:eastAsia="Times New Roman" w:hAnsi="Arial" w:cs="Arial"/>
        </w:rPr>
        <w:t>, there is an intelligent waiver. Nevertheless, it is a perilous undertaking and it invites trouble. Courts ordinarily are wary of waivers of full disclosure.</w:t>
      </w:r>
    </w:p>
    <w:p w:rsidR="00000000" w:rsidRDefault="00484C17">
      <w:pPr>
        <w:ind w:left="720"/>
        <w:rPr>
          <w:rFonts w:eastAsia="Times New Roman"/>
        </w:rPr>
      </w:pPr>
      <w:r>
        <w:rPr>
          <w:rFonts w:ascii="Arial" w:eastAsia="Times New Roman" w:hAnsi="Arial" w:cs="Arial"/>
        </w:rPr>
        <w:t>Matrimonial attorneys often insert clauses i</w:t>
      </w:r>
      <w:r>
        <w:rPr>
          <w:rFonts w:ascii="Arial" w:eastAsia="Times New Roman" w:hAnsi="Arial" w:cs="Arial"/>
        </w:rPr>
        <w:t xml:space="preserve">n settlement agreements that contain self-serving declarations that each party has made full financial disclosure to the other; that their respective counsel has fully explained to each of them the legal and practical effect of the terms of the agreement, </w:t>
      </w:r>
      <w:r>
        <w:rPr>
          <w:rFonts w:ascii="Arial" w:eastAsia="Times New Roman" w:hAnsi="Arial" w:cs="Arial"/>
        </w:rPr>
        <w:t>and that the circumstances surrounding the preparation and execution of the agreement were fair, and not the result of fraud, duress or undue influence.</w:t>
      </w:r>
      <w:hyperlink w:anchor="bottom" w:history="1">
        <w:r>
          <w:rPr>
            <w:rStyle w:val="Hyperlink"/>
            <w:rFonts w:ascii="Arial" w:eastAsia="Times New Roman" w:hAnsi="Arial" w:cs="Arial"/>
          </w:rPr>
          <w:t>7</w:t>
        </w:r>
      </w:hyperlink>
      <w:r>
        <w:rPr>
          <w:rFonts w:ascii="Arial" w:eastAsia="Times New Roman" w:hAnsi="Arial" w:cs="Arial"/>
        </w:rPr>
        <w:t xml:space="preserve"> </w:t>
      </w:r>
    </w:p>
    <w:p w:rsidR="00000000" w:rsidRDefault="00484C17">
      <w:pPr>
        <w:ind w:left="720"/>
        <w:rPr>
          <w:rFonts w:eastAsia="Times New Roman"/>
        </w:rPr>
      </w:pPr>
      <w:r>
        <w:rPr>
          <w:rFonts w:ascii="Arial" w:eastAsia="Times New Roman" w:hAnsi="Arial" w:cs="Arial"/>
        </w:rPr>
        <w:t>If "unconscionability" is established, such clauses certainly have limit</w:t>
      </w:r>
      <w:r>
        <w:rPr>
          <w:rFonts w:ascii="Arial" w:eastAsia="Times New Roman" w:hAnsi="Arial" w:cs="Arial"/>
        </w:rPr>
        <w:t>ed, if any, effect. But if the settlement agreement is fair on its face, and especially if the complaining party was represented by independent counsel, such clauses are effective and, at a minimum, place a heavy burden on the party who asserts invalidity.</w:t>
      </w:r>
      <w:hyperlink w:anchor="bottom" w:history="1">
        <w:r>
          <w:rPr>
            <w:rStyle w:val="Hyperlink"/>
            <w:rFonts w:ascii="Arial" w:eastAsia="Times New Roman" w:hAnsi="Arial" w:cs="Arial"/>
          </w:rPr>
          <w:t>8</w:t>
        </w:r>
      </w:hyperlink>
      <w:r>
        <w:rPr>
          <w:rFonts w:ascii="Arial" w:eastAsia="Times New Roman" w:hAnsi="Arial" w:cs="Arial"/>
        </w:rPr>
        <w:t xml:space="preserve"> Statements of net worth are mandatory and liberal discovery procedures on financial matters are available.</w:t>
      </w:r>
    </w:p>
    <w:p w:rsidR="00000000" w:rsidRDefault="00484C17">
      <w:pPr>
        <w:ind w:left="720"/>
        <w:rPr>
          <w:rFonts w:eastAsia="Times New Roman"/>
        </w:rPr>
      </w:pPr>
      <w:r>
        <w:rPr>
          <w:rFonts w:ascii="Arial" w:eastAsia="Times New Roman" w:hAnsi="Arial" w:cs="Arial"/>
        </w:rPr>
        <w:t>This obligation regarding disclosure also applies to the bargaining stage prior to reaching an agreement. Since the se</w:t>
      </w:r>
      <w:r>
        <w:rPr>
          <w:rFonts w:ascii="Arial" w:eastAsia="Times New Roman" w:hAnsi="Arial" w:cs="Arial"/>
        </w:rPr>
        <w:t>ttlement agreement may serve in lieu of valuation and distribution by the court, it is imperative that the parties know what they are doing and what is at stake.</w:t>
      </w:r>
    </w:p>
    <w:p w:rsidR="00000000" w:rsidRDefault="00484C17">
      <w:pPr>
        <w:ind w:left="720"/>
        <w:rPr>
          <w:rFonts w:eastAsia="Times New Roman"/>
        </w:rPr>
      </w:pPr>
      <w:r>
        <w:rPr>
          <w:rFonts w:ascii="Arial" w:eastAsia="Times New Roman" w:hAnsi="Arial" w:cs="Arial"/>
        </w:rPr>
        <w:t>In the past, prenuptial agreements were treated differently from settlement agreements. Courts</w:t>
      </w:r>
      <w:r>
        <w:rPr>
          <w:rFonts w:ascii="Arial" w:eastAsia="Times New Roman" w:hAnsi="Arial" w:cs="Arial"/>
        </w:rPr>
        <w:t xml:space="preserve"> sustained the validity of a prenuptial agreement where there was an intelligent waiver and full disclosure was </w:t>
      </w:r>
      <w:r>
        <w:rPr>
          <w:rFonts w:ascii="Arial" w:eastAsia="Times New Roman" w:hAnsi="Arial" w:cs="Arial"/>
          <w:i/>
          <w:iCs/>
        </w:rPr>
        <w:t>not</w:t>
      </w:r>
      <w:r>
        <w:rPr>
          <w:rFonts w:ascii="Arial" w:eastAsia="Times New Roman" w:hAnsi="Arial" w:cs="Arial"/>
        </w:rPr>
        <w:t xml:space="preserve"> made. In </w:t>
      </w:r>
      <w:r>
        <w:rPr>
          <w:rFonts w:ascii="Arial" w:eastAsia="Times New Roman" w:hAnsi="Arial" w:cs="Arial"/>
          <w:i/>
          <w:iCs/>
        </w:rPr>
        <w:t>Hoffman v. Hoffman</w:t>
      </w:r>
      <w:r>
        <w:rPr>
          <w:rFonts w:ascii="Arial" w:eastAsia="Times New Roman" w:hAnsi="Arial" w:cs="Arial"/>
        </w:rPr>
        <w:t>,</w:t>
      </w:r>
      <w:hyperlink w:anchor="bottom" w:history="1">
        <w:r>
          <w:rPr>
            <w:rStyle w:val="Hyperlink"/>
            <w:rFonts w:ascii="Arial" w:eastAsia="Times New Roman" w:hAnsi="Arial" w:cs="Arial"/>
          </w:rPr>
          <w:t>9</w:t>
        </w:r>
      </w:hyperlink>
      <w:r>
        <w:rPr>
          <w:rFonts w:ascii="Arial" w:eastAsia="Times New Roman" w:hAnsi="Arial" w:cs="Arial"/>
        </w:rPr>
        <w:t xml:space="preserve"> the court held that a failure to disclose the full extent of a party's assets doe</w:t>
      </w:r>
      <w:r>
        <w:rPr>
          <w:rFonts w:ascii="Arial" w:eastAsia="Times New Roman" w:hAnsi="Arial" w:cs="Arial"/>
        </w:rPr>
        <w:t>s not in itself constitute such fraud or overreaching that would invalidate a prenuptial agreement, where no representations were made and thus none were relied upon.</w:t>
      </w:r>
    </w:p>
    <w:p w:rsidR="00000000" w:rsidRDefault="00484C17">
      <w:pPr>
        <w:ind w:left="720"/>
        <w:rPr>
          <w:rFonts w:eastAsia="Times New Roman"/>
        </w:rPr>
      </w:pPr>
      <w:r>
        <w:rPr>
          <w:rFonts w:ascii="Arial" w:eastAsia="Times New Roman" w:hAnsi="Arial" w:cs="Arial"/>
        </w:rPr>
        <w:t xml:space="preserve">In </w:t>
      </w:r>
      <w:r>
        <w:rPr>
          <w:rFonts w:ascii="Arial" w:eastAsia="Times New Roman" w:hAnsi="Arial" w:cs="Arial"/>
          <w:i/>
          <w:iCs/>
        </w:rPr>
        <w:t>Matter of Greiff</w:t>
      </w:r>
      <w:r>
        <w:rPr>
          <w:rFonts w:ascii="Arial" w:eastAsia="Times New Roman" w:hAnsi="Arial" w:cs="Arial"/>
        </w:rPr>
        <w:t> </w:t>
      </w:r>
      <w:hyperlink w:anchor="bottom" w:history="1">
        <w:r>
          <w:rPr>
            <w:rStyle w:val="Hyperlink"/>
            <w:rFonts w:ascii="Arial" w:eastAsia="Times New Roman" w:hAnsi="Arial" w:cs="Arial"/>
          </w:rPr>
          <w:t>10</w:t>
        </w:r>
      </w:hyperlink>
      <w:r>
        <w:rPr>
          <w:rFonts w:ascii="Arial" w:eastAsia="Times New Roman" w:hAnsi="Arial" w:cs="Arial"/>
        </w:rPr>
        <w:t xml:space="preserve"> the Court of Appeals extended the con</w:t>
      </w:r>
      <w:r>
        <w:rPr>
          <w:rFonts w:ascii="Arial" w:eastAsia="Times New Roman" w:hAnsi="Arial" w:cs="Arial"/>
        </w:rPr>
        <w:t>cept of "fiduciary relationships" to engaged parties when they execute a prenuptial agreement, and it held that the existence of certain "exceptional circumstances" can warrant a shift of the burden of proof bearing on its legality and enforceability.</w:t>
      </w:r>
    </w:p>
    <w:p w:rsidR="00000000" w:rsidRDefault="00484C17">
      <w:pPr>
        <w:ind w:left="720"/>
        <w:rPr>
          <w:rFonts w:eastAsia="Times New Roman"/>
        </w:rPr>
      </w:pPr>
      <w:r>
        <w:rPr>
          <w:rFonts w:ascii="Arial" w:eastAsia="Times New Roman" w:hAnsi="Arial" w:cs="Arial"/>
        </w:rPr>
        <w:t>Appe</w:t>
      </w:r>
      <w:r>
        <w:rPr>
          <w:rFonts w:ascii="Arial" w:eastAsia="Times New Roman" w:hAnsi="Arial" w:cs="Arial"/>
        </w:rPr>
        <w:t xml:space="preserve">llant Helen Greiff married Herman Greiff in 1988 when they were 65 and 77 years of age, respectively. They entered into reciprocal prenuptial agreements in which each expressed the usual waiver of the statutory right of election as </w:t>
      </w:r>
      <w:r>
        <w:rPr>
          <w:rFonts w:ascii="Arial" w:eastAsia="Times New Roman" w:hAnsi="Arial" w:cs="Arial"/>
        </w:rPr>
        <w:lastRenderedPageBreak/>
        <w:t>against the estate of th</w:t>
      </w:r>
      <w:r>
        <w:rPr>
          <w:rFonts w:ascii="Arial" w:eastAsia="Times New Roman" w:hAnsi="Arial" w:cs="Arial"/>
        </w:rPr>
        <w:t>e other. The husband died three months after the marriage, leaving a will that made no provision for his surviving spouse. The will left the entire estate to his children from a prior marriage.</w:t>
      </w:r>
    </w:p>
    <w:p w:rsidR="00000000" w:rsidRDefault="00484C17">
      <w:pPr>
        <w:ind w:left="720"/>
        <w:rPr>
          <w:rFonts w:eastAsia="Times New Roman"/>
        </w:rPr>
      </w:pPr>
      <w:r>
        <w:rPr>
          <w:rFonts w:ascii="Arial" w:eastAsia="Times New Roman" w:hAnsi="Arial" w:cs="Arial"/>
        </w:rPr>
        <w:t>When Mrs. Greiff filed a petition seeking a statutory elective</w:t>
      </w:r>
      <w:r>
        <w:rPr>
          <w:rFonts w:ascii="Arial" w:eastAsia="Times New Roman" w:hAnsi="Arial" w:cs="Arial"/>
        </w:rPr>
        <w:t xml:space="preserve"> share of the estate, Mr. Greiff's children countered with the two prenuptial agreements, which they claimed precluded Mrs. Greiff from exercising a right of election against her husband's estate.</w:t>
      </w:r>
    </w:p>
    <w:p w:rsidR="00000000" w:rsidRDefault="00484C17">
      <w:pPr>
        <w:pStyle w:val="NormalWeb"/>
        <w:rPr>
          <w:b/>
          <w:bCs/>
        </w:rPr>
      </w:pPr>
      <w:r>
        <w:rPr>
          <w:rFonts w:ascii="Arial" w:hAnsi="Arial" w:cs="Arial"/>
          <w:b/>
          <w:bCs/>
        </w:rPr>
        <w:t>'Influence and Advantage'</w:t>
      </w:r>
    </w:p>
    <w:p w:rsidR="00000000" w:rsidRDefault="00484C17">
      <w:pPr>
        <w:ind w:left="720"/>
        <w:rPr>
          <w:rFonts w:eastAsia="Times New Roman"/>
        </w:rPr>
      </w:pPr>
      <w:r>
        <w:rPr>
          <w:rFonts w:ascii="Arial" w:eastAsia="Times New Roman" w:hAnsi="Arial" w:cs="Arial"/>
        </w:rPr>
        <w:t>The Surrogate found, after a tria</w:t>
      </w:r>
      <w:r>
        <w:rPr>
          <w:rFonts w:ascii="Arial" w:eastAsia="Times New Roman" w:hAnsi="Arial" w:cs="Arial"/>
        </w:rPr>
        <w:t>l, that the husband "was in a position of great influence and advantage" in his relationship with his wife to be, and that he was able to subordinate her interests, to her prejudice and detriment. It further determined that the husband "exercised bad faith</w:t>
      </w:r>
      <w:r>
        <w:rPr>
          <w:rFonts w:ascii="Arial" w:eastAsia="Times New Roman" w:hAnsi="Arial" w:cs="Arial"/>
        </w:rPr>
        <w:t>, unfair and inequitable dealings, undue influence and overreaching when he induced the petitioner to sign the proffered antenuptial agreements," particularly noting that the husband "selected and paid for" the wife's attorney. The Surrogate's Court invali</w:t>
      </w:r>
      <w:r>
        <w:rPr>
          <w:rFonts w:ascii="Arial" w:eastAsia="Times New Roman" w:hAnsi="Arial" w:cs="Arial"/>
        </w:rPr>
        <w:t>dated the prenuptial agreements and granted a statutory elective share of decedent's estate to the surviving spouse.</w:t>
      </w:r>
    </w:p>
    <w:p w:rsidR="00000000" w:rsidRDefault="00484C17">
      <w:pPr>
        <w:ind w:left="720"/>
        <w:rPr>
          <w:rFonts w:eastAsia="Times New Roman"/>
        </w:rPr>
      </w:pPr>
      <w:r>
        <w:rPr>
          <w:rFonts w:ascii="Arial" w:eastAsia="Times New Roman" w:hAnsi="Arial" w:cs="Arial"/>
        </w:rPr>
        <w:t>The Appellate Division reversed on the law, declaring that Mrs. Greiff had failed to establish that her execution of the prenuptial agreeme</w:t>
      </w:r>
      <w:r>
        <w:rPr>
          <w:rFonts w:ascii="Arial" w:eastAsia="Times New Roman" w:hAnsi="Arial" w:cs="Arial"/>
        </w:rPr>
        <w:t>nts was procured through her then-fiance's fraud or overreaching.</w:t>
      </w:r>
    </w:p>
    <w:p w:rsidR="00000000" w:rsidRDefault="00484C17">
      <w:pPr>
        <w:ind w:left="720"/>
        <w:rPr>
          <w:rFonts w:eastAsia="Times New Roman"/>
        </w:rPr>
      </w:pPr>
      <w:r>
        <w:rPr>
          <w:rFonts w:ascii="Arial" w:eastAsia="Times New Roman" w:hAnsi="Arial" w:cs="Arial"/>
        </w:rPr>
        <w:t>The Court of Appeals granted the widow leave to appeal, and it reversed.</w:t>
      </w:r>
    </w:p>
    <w:p w:rsidR="00000000" w:rsidRDefault="00484C17">
      <w:pPr>
        <w:ind w:left="720"/>
        <w:rPr>
          <w:rFonts w:eastAsia="Times New Roman"/>
        </w:rPr>
      </w:pPr>
      <w:r>
        <w:rPr>
          <w:rFonts w:ascii="Arial" w:eastAsia="Times New Roman" w:hAnsi="Arial" w:cs="Arial"/>
        </w:rPr>
        <w:t>It stated the general rule that a party seeking to vitiate a contract on the ground of fraud bears the burden of prov</w:t>
      </w:r>
      <w:r>
        <w:rPr>
          <w:rFonts w:ascii="Arial" w:eastAsia="Times New Roman" w:hAnsi="Arial" w:cs="Arial"/>
        </w:rPr>
        <w:t>ing the impediment attributable to the proponent seeking enforcement.</w:t>
      </w:r>
      <w:hyperlink w:anchor="bottom" w:history="1">
        <w:r>
          <w:rPr>
            <w:rStyle w:val="Hyperlink"/>
            <w:rFonts w:ascii="Arial" w:eastAsia="Times New Roman" w:hAnsi="Arial" w:cs="Arial"/>
          </w:rPr>
          <w:t>11</w:t>
        </w:r>
      </w:hyperlink>
      <w:r>
        <w:rPr>
          <w:rFonts w:ascii="Arial" w:eastAsia="Times New Roman" w:hAnsi="Arial" w:cs="Arial"/>
        </w:rPr>
        <w:t xml:space="preserve"> It said that this rule also applies generally to controversies involving prenuptial agreements.</w:t>
      </w:r>
      <w:hyperlink w:anchor="bottom" w:history="1">
        <w:r>
          <w:rPr>
            <w:rStyle w:val="Hyperlink"/>
            <w:rFonts w:ascii="Arial" w:eastAsia="Times New Roman" w:hAnsi="Arial" w:cs="Arial"/>
          </w:rPr>
          <w:t>12</w:t>
        </w:r>
      </w:hyperlink>
      <w:r>
        <w:rPr>
          <w:rFonts w:ascii="Arial" w:eastAsia="Times New Roman" w:hAnsi="Arial" w:cs="Arial"/>
        </w:rPr>
        <w:t xml:space="preserve"> However, it noted that it ha</w:t>
      </w:r>
      <w:r>
        <w:rPr>
          <w:rFonts w:ascii="Arial" w:eastAsia="Times New Roman" w:hAnsi="Arial" w:cs="Arial"/>
        </w:rPr>
        <w:t>s held that where parties to an agreement find or place themselves in a relationship of trust and confidence at the time of execution, a special burden may be shifted to the party in whom the trust is reposed to disprove fraud or overreaching, citing, amon</w:t>
      </w:r>
      <w:r>
        <w:rPr>
          <w:rFonts w:ascii="Arial" w:eastAsia="Times New Roman" w:hAnsi="Arial" w:cs="Arial"/>
        </w:rPr>
        <w:t xml:space="preserve">g other things, </w:t>
      </w:r>
      <w:r>
        <w:rPr>
          <w:rFonts w:ascii="Arial" w:eastAsia="Times New Roman" w:hAnsi="Arial" w:cs="Arial"/>
          <w:i/>
          <w:iCs/>
        </w:rPr>
        <w:t>Christian v. Christian</w:t>
      </w:r>
      <w:r>
        <w:rPr>
          <w:rFonts w:ascii="Arial" w:eastAsia="Times New Roman" w:hAnsi="Arial" w:cs="Arial"/>
        </w:rPr>
        <w:t>.</w:t>
      </w:r>
      <w:hyperlink w:anchor="bottom" w:history="1">
        <w:r>
          <w:rPr>
            <w:rStyle w:val="Hyperlink"/>
            <w:rFonts w:ascii="Arial" w:eastAsia="Times New Roman" w:hAnsi="Arial" w:cs="Arial"/>
          </w:rPr>
          <w:t>13</w:t>
        </w:r>
      </w:hyperlink>
    </w:p>
    <w:p w:rsidR="00000000" w:rsidRDefault="00484C17">
      <w:pPr>
        <w:ind w:left="720"/>
        <w:rPr>
          <w:rFonts w:eastAsia="Times New Roman"/>
        </w:rPr>
      </w:pPr>
      <w:r>
        <w:rPr>
          <w:rFonts w:ascii="Arial" w:eastAsia="Times New Roman" w:hAnsi="Arial" w:cs="Arial"/>
        </w:rPr>
        <w:t xml:space="preserve">As an illustration, the Court referred to </w:t>
      </w:r>
      <w:r>
        <w:rPr>
          <w:rFonts w:ascii="Arial" w:eastAsia="Times New Roman" w:hAnsi="Arial" w:cs="Arial"/>
          <w:i/>
          <w:iCs/>
        </w:rPr>
        <w:t>Matter of Gordon,</w:t>
      </w:r>
      <w:hyperlink w:anchor="bottom" w:history="1">
        <w:r>
          <w:rPr>
            <w:rStyle w:val="Hyperlink"/>
            <w:rFonts w:ascii="Arial" w:eastAsia="Times New Roman" w:hAnsi="Arial" w:cs="Arial"/>
          </w:rPr>
          <w:t>14</w:t>
        </w:r>
      </w:hyperlink>
      <w:r>
        <w:rPr>
          <w:rFonts w:ascii="Arial" w:eastAsia="Times New Roman" w:hAnsi="Arial" w:cs="Arial"/>
        </w:rPr>
        <w:t xml:space="preserve"> </w:t>
      </w:r>
      <w:r>
        <w:rPr>
          <w:rFonts w:ascii="Arial" w:eastAsia="Times New Roman" w:hAnsi="Arial" w:cs="Arial"/>
        </w:rPr>
        <w:t>where the administrator of the decedent's estate challenged the transfer of funds by the decedent, one month before her death, to the nursing home in which she was a patient. It pointed out that when it invalidated the transfer it stated:</w:t>
      </w:r>
    </w:p>
    <w:p w:rsidR="00000000" w:rsidRDefault="00484C17">
      <w:pPr>
        <w:pStyle w:val="NormalWeb"/>
        <w:divId w:val="22831667"/>
      </w:pPr>
      <w:r>
        <w:rPr>
          <w:rFonts w:ascii="Arial" w:hAnsi="Arial" w:cs="Arial"/>
        </w:rPr>
        <w:t>Whenever * * * th</w:t>
      </w:r>
      <w:r>
        <w:rPr>
          <w:rFonts w:ascii="Arial" w:hAnsi="Arial" w:cs="Arial"/>
        </w:rPr>
        <w:t>e relations between the contracting parties appear to be of such a character as to render it certain that * * * either on the one side from superior knowledge of the matter derived from a fiduciary relation, or from an overmastering influence, or on the ot</w:t>
      </w:r>
      <w:r>
        <w:rPr>
          <w:rFonts w:ascii="Arial" w:hAnsi="Arial" w:cs="Arial"/>
        </w:rPr>
        <w:t xml:space="preserve">her from weakness, dependence, or trust justifiably reposed, unfair advantage in a transaction is rendered probable, * * * it is incumbent upon the stronger party to show affirmatively that no deception was practiced, no undue influence was used, and that </w:t>
      </w:r>
      <w:r>
        <w:rPr>
          <w:rFonts w:ascii="Arial" w:hAnsi="Arial" w:cs="Arial"/>
        </w:rPr>
        <w:t>all was fair, open, voluntary and well understood" * * * .</w:t>
      </w:r>
    </w:p>
    <w:p w:rsidR="00000000" w:rsidRDefault="00484C17">
      <w:pPr>
        <w:ind w:left="720"/>
        <w:rPr>
          <w:rFonts w:eastAsia="Times New Roman"/>
        </w:rPr>
      </w:pPr>
      <w:r>
        <w:rPr>
          <w:rFonts w:ascii="Arial" w:eastAsia="Times New Roman" w:hAnsi="Arial" w:cs="Arial"/>
        </w:rPr>
        <w:lastRenderedPageBreak/>
        <w:t>The court held that this rule can be applied to the execution of prenuptial agreements. It emphasized, however, that the shift of the burden of proof is neither presumptively applicable nor precluded.</w:t>
      </w:r>
    </w:p>
    <w:p w:rsidR="00000000" w:rsidRDefault="00484C17">
      <w:pPr>
        <w:ind w:left="720"/>
        <w:rPr>
          <w:rFonts w:eastAsia="Times New Roman"/>
        </w:rPr>
      </w:pPr>
      <w:r>
        <w:rPr>
          <w:rFonts w:ascii="Arial" w:eastAsia="Times New Roman" w:hAnsi="Arial" w:cs="Arial"/>
        </w:rPr>
        <w:t xml:space="preserve">The court noted that its 1894 decision in </w:t>
      </w:r>
      <w:r>
        <w:rPr>
          <w:rFonts w:ascii="Arial" w:eastAsia="Times New Roman" w:hAnsi="Arial" w:cs="Arial"/>
          <w:i/>
          <w:iCs/>
        </w:rPr>
        <w:t>Graham v. Gra</w:t>
      </w:r>
      <w:r>
        <w:rPr>
          <w:rFonts w:ascii="Arial" w:eastAsia="Times New Roman" w:hAnsi="Arial" w:cs="Arial"/>
          <w:i/>
          <w:iCs/>
        </w:rPr>
        <w:t>ham</w:t>
      </w:r>
      <w:r>
        <w:rPr>
          <w:rFonts w:ascii="Arial" w:eastAsia="Times New Roman" w:hAnsi="Arial" w:cs="Arial"/>
        </w:rPr>
        <w:t> </w:t>
      </w:r>
      <w:hyperlink w:anchor="bottom" w:history="1">
        <w:r>
          <w:rPr>
            <w:rStyle w:val="Hyperlink"/>
            <w:rFonts w:ascii="Arial" w:eastAsia="Times New Roman" w:hAnsi="Arial" w:cs="Arial"/>
          </w:rPr>
          <w:t>15</w:t>
        </w:r>
      </w:hyperlink>
      <w:r>
        <w:rPr>
          <w:rFonts w:ascii="Arial" w:eastAsia="Times New Roman" w:hAnsi="Arial" w:cs="Arial"/>
        </w:rPr>
        <w:t xml:space="preserve"> has been read to hold that prenuptial agreements were presumptively fraudulent because of the nature of the relationship between prospective spouses. Its more recent decision in </w:t>
      </w:r>
      <w:r>
        <w:rPr>
          <w:rFonts w:ascii="Arial" w:eastAsia="Times New Roman" w:hAnsi="Arial" w:cs="Arial"/>
          <w:i/>
          <w:iCs/>
        </w:rPr>
        <w:t>Matter of Phillips</w:t>
      </w:r>
      <w:r>
        <w:rPr>
          <w:rFonts w:ascii="Arial" w:eastAsia="Times New Roman" w:hAnsi="Arial" w:cs="Arial"/>
        </w:rPr>
        <w:t>,</w:t>
      </w:r>
      <w:hyperlink w:anchor="bottom" w:history="1">
        <w:r>
          <w:rPr>
            <w:rStyle w:val="Hyperlink"/>
            <w:rFonts w:ascii="Arial" w:eastAsia="Times New Roman" w:hAnsi="Arial" w:cs="Arial"/>
          </w:rPr>
          <w:t>16</w:t>
        </w:r>
      </w:hyperlink>
      <w:r>
        <w:rPr>
          <w:rFonts w:ascii="Arial" w:eastAsia="Times New Roman" w:hAnsi="Arial" w:cs="Arial"/>
        </w:rPr>
        <w:t xml:space="preserve"> on the other hand, was urged to suggest that prenuptial agreements may never be subject to burden-shifting, regardless of the relationship of the parties at the time of execution and the evidence of their respective conduct.</w:t>
      </w:r>
    </w:p>
    <w:p w:rsidR="00000000" w:rsidRDefault="00484C17">
      <w:pPr>
        <w:pStyle w:val="NormalWeb"/>
        <w:rPr>
          <w:b/>
          <w:bCs/>
        </w:rPr>
      </w:pPr>
      <w:r>
        <w:rPr>
          <w:rFonts w:ascii="Arial" w:hAnsi="Arial" w:cs="Arial"/>
          <w:b/>
          <w:bCs/>
        </w:rPr>
        <w:t>Equal Footing</w:t>
      </w:r>
    </w:p>
    <w:p w:rsidR="00000000" w:rsidRDefault="00484C17">
      <w:pPr>
        <w:ind w:left="720"/>
        <w:rPr>
          <w:rFonts w:eastAsia="Times New Roman"/>
        </w:rPr>
      </w:pPr>
      <w:r>
        <w:rPr>
          <w:rFonts w:ascii="Arial" w:eastAsia="Times New Roman" w:hAnsi="Arial" w:cs="Arial"/>
        </w:rPr>
        <w:t>The Cour</w:t>
      </w:r>
      <w:r>
        <w:rPr>
          <w:rFonts w:ascii="Arial" w:eastAsia="Times New Roman" w:hAnsi="Arial" w:cs="Arial"/>
        </w:rPr>
        <w:t xml:space="preserve">t pointed out that </w:t>
      </w:r>
      <w:r>
        <w:rPr>
          <w:rFonts w:ascii="Arial" w:eastAsia="Times New Roman" w:hAnsi="Arial" w:cs="Arial"/>
          <w:i/>
          <w:iCs/>
        </w:rPr>
        <w:t>Graham</w:t>
      </w:r>
      <w:r>
        <w:rPr>
          <w:rFonts w:ascii="Arial" w:eastAsia="Times New Roman" w:hAnsi="Arial" w:cs="Arial"/>
        </w:rPr>
        <w:t xml:space="preserve"> was decided more than 100 years ago, and it indicated that prospective spouses stand in a relationship of confidence that necessarily casts doubt on or requires strict scrutiny concerning the validity of a prenuptial agreement. </w:t>
      </w:r>
      <w:r>
        <w:rPr>
          <w:rFonts w:ascii="Arial" w:eastAsia="Times New Roman" w:hAnsi="Arial" w:cs="Arial"/>
          <w:i/>
          <w:iCs/>
        </w:rPr>
        <w:t>Gr</w:t>
      </w:r>
      <w:r>
        <w:rPr>
          <w:rFonts w:ascii="Arial" w:eastAsia="Times New Roman" w:hAnsi="Arial" w:cs="Arial"/>
          <w:i/>
          <w:iCs/>
        </w:rPr>
        <w:t>aham</w:t>
      </w:r>
      <w:r>
        <w:rPr>
          <w:rFonts w:ascii="Arial" w:eastAsia="Times New Roman" w:hAnsi="Arial" w:cs="Arial"/>
        </w:rPr>
        <w:t xml:space="preserve"> was based on the outdated premise that the man "naturally" had disproportionate influence over the woman he was to marry. In 1998, society and the law reflect a more progressive view. They now reject the assumption of inherent inequality between men a</w:t>
      </w:r>
      <w:r>
        <w:rPr>
          <w:rFonts w:ascii="Arial" w:eastAsia="Times New Roman" w:hAnsi="Arial" w:cs="Arial"/>
        </w:rPr>
        <w:t>nd women, in favor of a fairer, realistic appreciation of cultural and economic realities. The law now starts marital partners off on an equal plane.</w:t>
      </w:r>
    </w:p>
    <w:p w:rsidR="00000000" w:rsidRDefault="00484C17">
      <w:pPr>
        <w:ind w:left="720"/>
        <w:rPr>
          <w:rFonts w:eastAsia="Times New Roman"/>
        </w:rPr>
      </w:pPr>
      <w:r>
        <w:rPr>
          <w:rFonts w:ascii="Arial" w:eastAsia="Times New Roman" w:hAnsi="Arial" w:cs="Arial"/>
        </w:rPr>
        <w:t xml:space="preserve">Noting that </w:t>
      </w:r>
      <w:r>
        <w:rPr>
          <w:rFonts w:ascii="Arial" w:eastAsia="Times New Roman" w:hAnsi="Arial" w:cs="Arial"/>
          <w:i/>
          <w:iCs/>
        </w:rPr>
        <w:t>Phillips</w:t>
      </w:r>
      <w:r>
        <w:rPr>
          <w:rFonts w:ascii="Arial" w:eastAsia="Times New Roman" w:hAnsi="Arial" w:cs="Arial"/>
        </w:rPr>
        <w:t xml:space="preserve"> "tugs in the opposite direction" from </w:t>
      </w:r>
      <w:r>
        <w:rPr>
          <w:rFonts w:ascii="Arial" w:eastAsia="Times New Roman" w:hAnsi="Arial" w:cs="Arial"/>
          <w:i/>
          <w:iCs/>
        </w:rPr>
        <w:t>Graham</w:t>
      </w:r>
      <w:r>
        <w:rPr>
          <w:rFonts w:ascii="Arial" w:eastAsia="Times New Roman" w:hAnsi="Arial" w:cs="Arial"/>
        </w:rPr>
        <w:t>, the court found that it did not upset t</w:t>
      </w:r>
      <w:r>
        <w:rPr>
          <w:rFonts w:ascii="Arial" w:eastAsia="Times New Roman" w:hAnsi="Arial" w:cs="Arial"/>
        </w:rPr>
        <w:t xml:space="preserve">he principles enunciated in </w:t>
      </w:r>
      <w:r>
        <w:rPr>
          <w:rFonts w:ascii="Arial" w:eastAsia="Times New Roman" w:hAnsi="Arial" w:cs="Arial"/>
          <w:i/>
          <w:iCs/>
        </w:rPr>
        <w:t>Graham</w:t>
      </w:r>
      <w:r>
        <w:rPr>
          <w:rFonts w:ascii="Arial" w:eastAsia="Times New Roman" w:hAnsi="Arial" w:cs="Arial"/>
        </w:rPr>
        <w:t xml:space="preserve">, because while holding that prenuptial agreements are not enveloped by a presumption of fraud, the Court in </w:t>
      </w:r>
      <w:r>
        <w:rPr>
          <w:rFonts w:ascii="Arial" w:eastAsia="Times New Roman" w:hAnsi="Arial" w:cs="Arial"/>
          <w:i/>
          <w:iCs/>
        </w:rPr>
        <w:t>Phillips</w:t>
      </w:r>
      <w:r>
        <w:rPr>
          <w:rFonts w:ascii="Arial" w:eastAsia="Times New Roman" w:hAnsi="Arial" w:cs="Arial"/>
        </w:rPr>
        <w:t xml:space="preserve"> indicated that some extra leverage could arise from the "circumstances in which the agreement was propos</w:t>
      </w:r>
      <w:r>
        <w:rPr>
          <w:rFonts w:ascii="Arial" w:eastAsia="Times New Roman" w:hAnsi="Arial" w:cs="Arial"/>
        </w:rPr>
        <w:t xml:space="preserve">ed." It distinguished this language in </w:t>
      </w:r>
      <w:r>
        <w:rPr>
          <w:rFonts w:ascii="Arial" w:eastAsia="Times New Roman" w:hAnsi="Arial" w:cs="Arial"/>
          <w:i/>
          <w:iCs/>
        </w:rPr>
        <w:t>Phillips</w:t>
      </w:r>
      <w:r>
        <w:rPr>
          <w:rFonts w:ascii="Arial" w:eastAsia="Times New Roman" w:hAnsi="Arial" w:cs="Arial"/>
        </w:rPr>
        <w:t xml:space="preserve"> from the holding in </w:t>
      </w:r>
      <w:r>
        <w:rPr>
          <w:rFonts w:ascii="Arial" w:eastAsia="Times New Roman" w:hAnsi="Arial" w:cs="Arial"/>
          <w:i/>
          <w:iCs/>
        </w:rPr>
        <w:t>Graham</w:t>
      </w:r>
      <w:r>
        <w:rPr>
          <w:rFonts w:ascii="Arial" w:eastAsia="Times New Roman" w:hAnsi="Arial" w:cs="Arial"/>
        </w:rPr>
        <w:t>, finding it was broad enough to encompass the unique character of the bond between prospective spouses whose relationship, by its nature, is "permeated with trust, confidence, hones</w:t>
      </w:r>
      <w:r>
        <w:rPr>
          <w:rFonts w:ascii="Arial" w:eastAsia="Times New Roman" w:hAnsi="Arial" w:cs="Arial"/>
        </w:rPr>
        <w:t>ty and reliance."</w:t>
      </w:r>
    </w:p>
    <w:p w:rsidR="00000000" w:rsidRDefault="00484C17">
      <w:pPr>
        <w:ind w:left="720"/>
        <w:rPr>
          <w:rFonts w:eastAsia="Times New Roman"/>
        </w:rPr>
      </w:pPr>
      <w:r>
        <w:rPr>
          <w:rFonts w:ascii="Arial" w:eastAsia="Times New Roman" w:hAnsi="Arial" w:cs="Arial"/>
        </w:rPr>
        <w:t xml:space="preserve">The Court of Appeals held that the spouse who contests the validity of a prenuptial agreement bears the burden to establish a "fact based, particularized inequality" before the burden shifts to the party seeking to uphold the validity of </w:t>
      </w:r>
      <w:r>
        <w:rPr>
          <w:rFonts w:ascii="Arial" w:eastAsia="Times New Roman" w:hAnsi="Arial" w:cs="Arial"/>
        </w:rPr>
        <w:t xml:space="preserve">the agreement to disprove fraud or overreaching. The court thus eliminated the presumption of fraud enunciated in </w:t>
      </w:r>
      <w:r>
        <w:rPr>
          <w:rFonts w:ascii="Arial" w:eastAsia="Times New Roman" w:hAnsi="Arial" w:cs="Arial"/>
          <w:i/>
          <w:iCs/>
        </w:rPr>
        <w:t>Graham</w:t>
      </w:r>
      <w:r>
        <w:rPr>
          <w:rFonts w:ascii="Arial" w:eastAsia="Times New Roman" w:hAnsi="Arial" w:cs="Arial"/>
        </w:rPr>
        <w:t xml:space="preserve"> and adopted a "particularized and exceptional scrutiny" test.</w:t>
      </w:r>
    </w:p>
    <w:p w:rsidR="00000000" w:rsidRDefault="00484C17">
      <w:pPr>
        <w:ind w:left="720"/>
        <w:rPr>
          <w:rFonts w:eastAsia="Times New Roman"/>
          <w:i/>
          <w:iCs/>
        </w:rPr>
      </w:pPr>
      <w:r>
        <w:rPr>
          <w:rFonts w:ascii="Arial" w:eastAsia="Times New Roman" w:hAnsi="Arial" w:cs="Arial"/>
        </w:rPr>
        <w:t>As the Appellate Division did not apply these legal principles, the Court</w:t>
      </w:r>
      <w:r>
        <w:rPr>
          <w:rFonts w:ascii="Arial" w:eastAsia="Times New Roman" w:hAnsi="Arial" w:cs="Arial"/>
        </w:rPr>
        <w:t xml:space="preserve"> remitted the case to it for a new determination. It directed that the question for it to determine is "whether, based on all of the relevant evidence and standards, the nature of the relationship between the couple at the time they executed their prenupti</w:t>
      </w:r>
      <w:r>
        <w:rPr>
          <w:rFonts w:ascii="Arial" w:eastAsia="Times New Roman" w:hAnsi="Arial" w:cs="Arial"/>
        </w:rPr>
        <w:t>al agreements rose to the level to shift the burden to the proponents of the agreements to prove freedom from fraud, deception or undue influence."</w:t>
      </w:r>
    </w:p>
    <w:p w:rsidR="00000000" w:rsidRDefault="00484C17">
      <w:pPr>
        <w:ind w:left="720"/>
        <w:rPr>
          <w:rFonts w:eastAsia="Times New Roman"/>
        </w:rPr>
      </w:pPr>
      <w:r>
        <w:rPr>
          <w:rFonts w:ascii="Arial" w:eastAsia="Times New Roman" w:hAnsi="Arial" w:cs="Arial"/>
          <w:i/>
          <w:iCs/>
        </w:rPr>
        <w:t>Greiff</w:t>
      </w:r>
      <w:r>
        <w:rPr>
          <w:rFonts w:ascii="Arial" w:eastAsia="Times New Roman" w:hAnsi="Arial" w:cs="Arial"/>
        </w:rPr>
        <w:t xml:space="preserve"> demonstrates that the issue is one of fairness in the negotiations, and that, like beauty, may lie in</w:t>
      </w:r>
      <w:r>
        <w:rPr>
          <w:rFonts w:ascii="Arial" w:eastAsia="Times New Roman" w:hAnsi="Arial" w:cs="Arial"/>
        </w:rPr>
        <w:t xml:space="preserve"> the eyes of the beholder. Prior to this determination, the intermediate appellate courts upheld antenuptial agreements not tainted by fraud, </w:t>
      </w:r>
      <w:r>
        <w:rPr>
          <w:rFonts w:ascii="Arial" w:eastAsia="Times New Roman" w:hAnsi="Arial" w:cs="Arial"/>
        </w:rPr>
        <w:lastRenderedPageBreak/>
        <w:t>without an affirmative obligation on the part of both parties to fully disclose their finances and without conside</w:t>
      </w:r>
      <w:r>
        <w:rPr>
          <w:rFonts w:ascii="Arial" w:eastAsia="Times New Roman" w:hAnsi="Arial" w:cs="Arial"/>
        </w:rPr>
        <w:t xml:space="preserve">ration of whether the terms of the agreement were fair when made. These cases did not reflect the new public policy of New York as enunciated in the </w:t>
      </w:r>
      <w:r>
        <w:rPr>
          <w:rFonts w:ascii="Arial" w:eastAsia="Times New Roman" w:hAnsi="Arial" w:cs="Arial"/>
          <w:i/>
          <w:iCs/>
        </w:rPr>
        <w:t>Christian</w:t>
      </w:r>
      <w:r>
        <w:rPr>
          <w:rFonts w:ascii="Arial" w:eastAsia="Times New Roman" w:hAnsi="Arial" w:cs="Arial"/>
        </w:rPr>
        <w:t xml:space="preserve"> case and in the EDL, but adopted the policy that existed prior to July 19, 1980.</w:t>
      </w:r>
    </w:p>
    <w:p w:rsidR="00000000" w:rsidRDefault="00484C17">
      <w:pPr>
        <w:ind w:left="720"/>
        <w:rPr>
          <w:rFonts w:eastAsia="Times New Roman"/>
        </w:rPr>
      </w:pPr>
      <w:r>
        <w:rPr>
          <w:rFonts w:ascii="Arial" w:eastAsia="Times New Roman" w:hAnsi="Arial" w:cs="Arial"/>
          <w:i/>
          <w:iCs/>
        </w:rPr>
        <w:t>Greiff</w:t>
      </w:r>
      <w:r>
        <w:rPr>
          <w:rFonts w:ascii="Arial" w:eastAsia="Times New Roman" w:hAnsi="Arial" w:cs="Arial"/>
        </w:rPr>
        <w:t xml:space="preserve"> apparentl</w:t>
      </w:r>
      <w:r>
        <w:rPr>
          <w:rFonts w:ascii="Arial" w:eastAsia="Times New Roman" w:hAnsi="Arial" w:cs="Arial"/>
        </w:rPr>
        <w:t>y changes all of this and elevates the status of being engaged to its rightful place as a fiduciary relationship.</w:t>
      </w:r>
    </w:p>
    <w:p w:rsidR="00000000" w:rsidRDefault="00484C17">
      <w:pPr>
        <w:pStyle w:val="NormalWeb"/>
        <w:jc w:val="center"/>
      </w:pPr>
      <w:r>
        <w:rPr>
          <w:rFonts w:ascii="Arial" w:hAnsi="Arial" w:cs="Arial"/>
        </w:rPr>
        <w:t>----------------------</w:t>
      </w:r>
    </w:p>
    <w:p w:rsidR="00000000" w:rsidRDefault="00484C17">
      <w:pPr>
        <w:pStyle w:val="NormalWeb"/>
        <w:jc w:val="center"/>
      </w:pPr>
      <w:r>
        <w:rPr>
          <w:rFonts w:ascii="Arial" w:hAnsi="Arial" w:cs="Arial"/>
        </w:rPr>
        <w:t>Notes</w:t>
      </w:r>
    </w:p>
    <w:p w:rsidR="00000000" w:rsidRDefault="00484C17">
      <w:pPr>
        <w:ind w:left="720"/>
        <w:rPr>
          <w:rFonts w:eastAsia="Times New Roman"/>
        </w:rPr>
      </w:pPr>
      <w:bookmarkStart w:id="1" w:name="bottom"/>
      <w:bookmarkEnd w:id="1"/>
      <w:r>
        <w:rPr>
          <w:rFonts w:ascii="Arial" w:eastAsia="Times New Roman" w:hAnsi="Arial" w:cs="Arial"/>
          <w:sz w:val="20"/>
          <w:szCs w:val="20"/>
        </w:rPr>
        <w:t xml:space="preserve">(1) </w:t>
      </w:r>
      <w:r>
        <w:rPr>
          <w:rFonts w:ascii="Arial" w:eastAsia="Times New Roman" w:hAnsi="Arial" w:cs="Arial"/>
          <w:i/>
          <w:iCs/>
          <w:sz w:val="20"/>
          <w:szCs w:val="20"/>
        </w:rPr>
        <w:t>Matter of Phillips</w:t>
      </w:r>
      <w:r>
        <w:rPr>
          <w:rFonts w:ascii="Arial" w:eastAsia="Times New Roman" w:hAnsi="Arial" w:cs="Arial"/>
          <w:sz w:val="20"/>
          <w:szCs w:val="20"/>
        </w:rPr>
        <w:t>, 293 NY 483, 58 NE2d 504, reh den 294 NY 662, 60 NE2d 389.</w:t>
      </w:r>
    </w:p>
    <w:p w:rsidR="00000000" w:rsidRDefault="00484C17">
      <w:pPr>
        <w:ind w:left="720"/>
        <w:rPr>
          <w:rFonts w:eastAsia="Times New Roman"/>
        </w:rPr>
      </w:pPr>
      <w:r>
        <w:rPr>
          <w:rFonts w:ascii="Arial" w:eastAsia="Times New Roman" w:hAnsi="Arial" w:cs="Arial"/>
          <w:sz w:val="20"/>
          <w:szCs w:val="20"/>
        </w:rPr>
        <w:t xml:space="preserve">(2) </w:t>
      </w:r>
      <w:r>
        <w:rPr>
          <w:rFonts w:ascii="Arial" w:eastAsia="Times New Roman" w:hAnsi="Arial" w:cs="Arial"/>
          <w:i/>
          <w:iCs/>
          <w:sz w:val="20"/>
          <w:szCs w:val="20"/>
        </w:rPr>
        <w:t>Re Estate of Miller</w:t>
      </w:r>
      <w:r>
        <w:rPr>
          <w:rFonts w:ascii="Arial" w:eastAsia="Times New Roman" w:hAnsi="Arial" w:cs="Arial"/>
          <w:sz w:val="20"/>
          <w:szCs w:val="20"/>
        </w:rPr>
        <w:t xml:space="preserve">, 97 AD2d 581; </w:t>
      </w:r>
      <w:r>
        <w:rPr>
          <w:rFonts w:ascii="Arial" w:eastAsia="Times New Roman" w:hAnsi="Arial" w:cs="Arial"/>
          <w:i/>
          <w:iCs/>
          <w:sz w:val="20"/>
          <w:szCs w:val="20"/>
        </w:rPr>
        <w:t>Lambert</w:t>
      </w:r>
      <w:r>
        <w:rPr>
          <w:rFonts w:ascii="Arial" w:eastAsia="Times New Roman" w:hAnsi="Arial" w:cs="Arial"/>
          <w:sz w:val="20"/>
          <w:szCs w:val="20"/>
        </w:rPr>
        <w:t xml:space="preserve"> </w:t>
      </w:r>
      <w:r>
        <w:rPr>
          <w:rFonts w:ascii="Arial" w:eastAsia="Times New Roman" w:hAnsi="Arial" w:cs="Arial"/>
          <w:i/>
          <w:iCs/>
          <w:sz w:val="20"/>
          <w:szCs w:val="20"/>
        </w:rPr>
        <w:t>v.</w:t>
      </w:r>
      <w:r>
        <w:rPr>
          <w:rFonts w:ascii="Arial" w:eastAsia="Times New Roman" w:hAnsi="Arial" w:cs="Arial"/>
          <w:sz w:val="20"/>
          <w:szCs w:val="20"/>
        </w:rPr>
        <w:t xml:space="preserve"> </w:t>
      </w:r>
      <w:r>
        <w:rPr>
          <w:rFonts w:ascii="Arial" w:eastAsia="Times New Roman" w:hAnsi="Arial" w:cs="Arial"/>
          <w:i/>
          <w:iCs/>
          <w:sz w:val="20"/>
          <w:szCs w:val="20"/>
        </w:rPr>
        <w:t>Lambert</w:t>
      </w:r>
      <w:r>
        <w:rPr>
          <w:rFonts w:ascii="Arial" w:eastAsia="Times New Roman" w:hAnsi="Arial" w:cs="Arial"/>
          <w:sz w:val="20"/>
          <w:szCs w:val="20"/>
        </w:rPr>
        <w:t>, 530 NYS2d 223.</w:t>
      </w:r>
    </w:p>
    <w:p w:rsidR="00000000" w:rsidRDefault="00484C17">
      <w:pPr>
        <w:ind w:left="720"/>
        <w:rPr>
          <w:rFonts w:eastAsia="Times New Roman"/>
        </w:rPr>
      </w:pPr>
      <w:r>
        <w:rPr>
          <w:rFonts w:ascii="Arial" w:eastAsia="Times New Roman" w:hAnsi="Arial" w:cs="Arial"/>
          <w:sz w:val="20"/>
          <w:szCs w:val="20"/>
        </w:rPr>
        <w:t xml:space="preserve">(3) See </w:t>
      </w:r>
      <w:r>
        <w:rPr>
          <w:rFonts w:ascii="Arial" w:eastAsia="Times New Roman" w:hAnsi="Arial" w:cs="Arial"/>
          <w:i/>
          <w:iCs/>
          <w:sz w:val="20"/>
          <w:szCs w:val="20"/>
        </w:rPr>
        <w:t>Stoerchle</w:t>
      </w:r>
      <w:r>
        <w:rPr>
          <w:rFonts w:ascii="Arial" w:eastAsia="Times New Roman" w:hAnsi="Arial" w:cs="Arial"/>
          <w:sz w:val="20"/>
          <w:szCs w:val="20"/>
        </w:rPr>
        <w:t xml:space="preserve"> </w:t>
      </w:r>
      <w:r>
        <w:rPr>
          <w:rFonts w:ascii="Arial" w:eastAsia="Times New Roman" w:hAnsi="Arial" w:cs="Arial"/>
          <w:i/>
          <w:iCs/>
          <w:sz w:val="20"/>
          <w:szCs w:val="20"/>
        </w:rPr>
        <w:t>v.</w:t>
      </w:r>
      <w:r>
        <w:rPr>
          <w:rFonts w:ascii="Arial" w:eastAsia="Times New Roman" w:hAnsi="Arial" w:cs="Arial"/>
          <w:sz w:val="20"/>
          <w:szCs w:val="20"/>
        </w:rPr>
        <w:t xml:space="preserve"> </w:t>
      </w:r>
      <w:r>
        <w:rPr>
          <w:rFonts w:ascii="Arial" w:eastAsia="Times New Roman" w:hAnsi="Arial" w:cs="Arial"/>
          <w:i/>
          <w:iCs/>
          <w:sz w:val="20"/>
          <w:szCs w:val="20"/>
        </w:rPr>
        <w:t>Stoerchle</w:t>
      </w:r>
      <w:r>
        <w:rPr>
          <w:rFonts w:ascii="Arial" w:eastAsia="Times New Roman" w:hAnsi="Arial" w:cs="Arial"/>
          <w:sz w:val="20"/>
          <w:szCs w:val="20"/>
        </w:rPr>
        <w:t xml:space="preserve">, 101 AD2d 831; </w:t>
      </w:r>
      <w:r>
        <w:rPr>
          <w:rFonts w:ascii="Arial" w:eastAsia="Times New Roman" w:hAnsi="Arial" w:cs="Arial"/>
          <w:i/>
          <w:iCs/>
          <w:sz w:val="20"/>
          <w:szCs w:val="20"/>
        </w:rPr>
        <w:t>Richardson</w:t>
      </w:r>
      <w:r>
        <w:rPr>
          <w:rFonts w:ascii="Arial" w:eastAsia="Times New Roman" w:hAnsi="Arial" w:cs="Arial"/>
          <w:sz w:val="20"/>
          <w:szCs w:val="20"/>
        </w:rPr>
        <w:t xml:space="preserve"> </w:t>
      </w:r>
      <w:r>
        <w:rPr>
          <w:rFonts w:ascii="Arial" w:eastAsia="Times New Roman" w:hAnsi="Arial" w:cs="Arial"/>
          <w:i/>
          <w:iCs/>
          <w:sz w:val="20"/>
          <w:szCs w:val="20"/>
        </w:rPr>
        <w:t>v.</w:t>
      </w:r>
      <w:r>
        <w:rPr>
          <w:rFonts w:ascii="Arial" w:eastAsia="Times New Roman" w:hAnsi="Arial" w:cs="Arial"/>
          <w:sz w:val="20"/>
          <w:szCs w:val="20"/>
        </w:rPr>
        <w:t xml:space="preserve"> </w:t>
      </w:r>
      <w:r>
        <w:rPr>
          <w:rFonts w:ascii="Arial" w:eastAsia="Times New Roman" w:hAnsi="Arial" w:cs="Arial"/>
          <w:i/>
          <w:iCs/>
          <w:sz w:val="20"/>
          <w:szCs w:val="20"/>
        </w:rPr>
        <w:t>Richardson</w:t>
      </w:r>
      <w:r>
        <w:rPr>
          <w:rFonts w:ascii="Arial" w:eastAsia="Times New Roman" w:hAnsi="Arial" w:cs="Arial"/>
          <w:sz w:val="20"/>
          <w:szCs w:val="20"/>
        </w:rPr>
        <w:t>, 142 AD2d 563.</w:t>
      </w:r>
    </w:p>
    <w:p w:rsidR="00000000" w:rsidRDefault="00484C17">
      <w:pPr>
        <w:ind w:left="720"/>
        <w:rPr>
          <w:rFonts w:eastAsia="Times New Roman"/>
        </w:rPr>
      </w:pPr>
      <w:r>
        <w:rPr>
          <w:rFonts w:ascii="Arial" w:eastAsia="Times New Roman" w:hAnsi="Arial" w:cs="Arial"/>
          <w:sz w:val="20"/>
          <w:szCs w:val="20"/>
        </w:rPr>
        <w:t xml:space="preserve">(4) See </w:t>
      </w:r>
      <w:r>
        <w:rPr>
          <w:rFonts w:ascii="Arial" w:eastAsia="Times New Roman" w:hAnsi="Arial" w:cs="Arial"/>
          <w:i/>
          <w:iCs/>
          <w:sz w:val="20"/>
          <w:szCs w:val="20"/>
        </w:rPr>
        <w:t>Stoerchle</w:t>
      </w:r>
      <w:r>
        <w:rPr>
          <w:rFonts w:ascii="Arial" w:eastAsia="Times New Roman" w:hAnsi="Arial" w:cs="Arial"/>
          <w:sz w:val="20"/>
          <w:szCs w:val="20"/>
        </w:rPr>
        <w:t xml:space="preserve"> </w:t>
      </w:r>
      <w:r>
        <w:rPr>
          <w:rFonts w:ascii="Arial" w:eastAsia="Times New Roman" w:hAnsi="Arial" w:cs="Arial"/>
          <w:i/>
          <w:iCs/>
          <w:sz w:val="20"/>
          <w:szCs w:val="20"/>
        </w:rPr>
        <w:t>v.</w:t>
      </w:r>
      <w:r>
        <w:rPr>
          <w:rFonts w:ascii="Arial" w:eastAsia="Times New Roman" w:hAnsi="Arial" w:cs="Arial"/>
          <w:sz w:val="20"/>
          <w:szCs w:val="20"/>
        </w:rPr>
        <w:t xml:space="preserve"> </w:t>
      </w:r>
      <w:r>
        <w:rPr>
          <w:rFonts w:ascii="Arial" w:eastAsia="Times New Roman" w:hAnsi="Arial" w:cs="Arial"/>
          <w:i/>
          <w:iCs/>
          <w:sz w:val="20"/>
          <w:szCs w:val="20"/>
        </w:rPr>
        <w:t>Stoerchle</w:t>
      </w:r>
      <w:r>
        <w:rPr>
          <w:rFonts w:ascii="Arial" w:eastAsia="Times New Roman" w:hAnsi="Arial" w:cs="Arial"/>
          <w:sz w:val="20"/>
          <w:szCs w:val="20"/>
        </w:rPr>
        <w:t xml:space="preserve">, supra, </w:t>
      </w:r>
      <w:r>
        <w:rPr>
          <w:rFonts w:ascii="Arial" w:eastAsia="Times New Roman" w:hAnsi="Arial" w:cs="Arial"/>
          <w:i/>
          <w:iCs/>
          <w:sz w:val="20"/>
          <w:szCs w:val="20"/>
        </w:rPr>
        <w:t>Glaser</w:t>
      </w:r>
      <w:r>
        <w:rPr>
          <w:rFonts w:ascii="Arial" w:eastAsia="Times New Roman" w:hAnsi="Arial" w:cs="Arial"/>
          <w:sz w:val="20"/>
          <w:szCs w:val="20"/>
        </w:rPr>
        <w:t xml:space="preserve"> </w:t>
      </w:r>
      <w:r>
        <w:rPr>
          <w:rFonts w:ascii="Arial" w:eastAsia="Times New Roman" w:hAnsi="Arial" w:cs="Arial"/>
          <w:i/>
          <w:iCs/>
          <w:sz w:val="20"/>
          <w:szCs w:val="20"/>
        </w:rPr>
        <w:t>v.</w:t>
      </w:r>
      <w:r>
        <w:rPr>
          <w:rFonts w:ascii="Arial" w:eastAsia="Times New Roman" w:hAnsi="Arial" w:cs="Arial"/>
          <w:sz w:val="20"/>
          <w:szCs w:val="20"/>
        </w:rPr>
        <w:t xml:space="preserve"> </w:t>
      </w:r>
      <w:r>
        <w:rPr>
          <w:rFonts w:ascii="Arial" w:eastAsia="Times New Roman" w:hAnsi="Arial" w:cs="Arial"/>
          <w:i/>
          <w:iCs/>
          <w:sz w:val="20"/>
          <w:szCs w:val="20"/>
        </w:rPr>
        <w:t>Glaser</w:t>
      </w:r>
      <w:r>
        <w:rPr>
          <w:rFonts w:ascii="Arial" w:eastAsia="Times New Roman" w:hAnsi="Arial" w:cs="Arial"/>
          <w:sz w:val="20"/>
          <w:szCs w:val="20"/>
        </w:rPr>
        <w:t xml:space="preserve">, 127 AD2d 741; </w:t>
      </w:r>
      <w:r>
        <w:rPr>
          <w:rFonts w:ascii="Arial" w:eastAsia="Times New Roman" w:hAnsi="Arial" w:cs="Arial"/>
          <w:i/>
          <w:iCs/>
          <w:sz w:val="20"/>
          <w:szCs w:val="20"/>
        </w:rPr>
        <w:t>McDougall</w:t>
      </w:r>
      <w:r>
        <w:rPr>
          <w:rFonts w:ascii="Arial" w:eastAsia="Times New Roman" w:hAnsi="Arial" w:cs="Arial"/>
          <w:sz w:val="20"/>
          <w:szCs w:val="20"/>
        </w:rPr>
        <w:t xml:space="preserve"> </w:t>
      </w:r>
      <w:r>
        <w:rPr>
          <w:rFonts w:ascii="Arial" w:eastAsia="Times New Roman" w:hAnsi="Arial" w:cs="Arial"/>
          <w:i/>
          <w:iCs/>
          <w:sz w:val="20"/>
          <w:szCs w:val="20"/>
        </w:rPr>
        <w:t>v.</w:t>
      </w:r>
      <w:r>
        <w:rPr>
          <w:rFonts w:ascii="Arial" w:eastAsia="Times New Roman" w:hAnsi="Arial" w:cs="Arial"/>
          <w:sz w:val="20"/>
          <w:szCs w:val="20"/>
        </w:rPr>
        <w:t xml:space="preserve"> </w:t>
      </w:r>
      <w:r>
        <w:rPr>
          <w:rFonts w:ascii="Arial" w:eastAsia="Times New Roman" w:hAnsi="Arial" w:cs="Arial"/>
          <w:i/>
          <w:iCs/>
          <w:sz w:val="20"/>
          <w:szCs w:val="20"/>
        </w:rPr>
        <w:t>McDougall</w:t>
      </w:r>
      <w:r>
        <w:rPr>
          <w:rFonts w:ascii="Arial" w:eastAsia="Times New Roman" w:hAnsi="Arial" w:cs="Arial"/>
          <w:sz w:val="20"/>
          <w:szCs w:val="20"/>
        </w:rPr>
        <w:t>, 129 AD2d 685.</w:t>
      </w:r>
    </w:p>
    <w:p w:rsidR="00000000" w:rsidRDefault="00484C17">
      <w:pPr>
        <w:ind w:left="720"/>
        <w:rPr>
          <w:rFonts w:eastAsia="Times New Roman"/>
        </w:rPr>
      </w:pPr>
      <w:r>
        <w:rPr>
          <w:rFonts w:ascii="Arial" w:eastAsia="Times New Roman" w:hAnsi="Arial" w:cs="Arial"/>
          <w:sz w:val="20"/>
          <w:szCs w:val="20"/>
        </w:rPr>
        <w:t xml:space="preserve">(5) See </w:t>
      </w:r>
      <w:r>
        <w:rPr>
          <w:rFonts w:ascii="Arial" w:eastAsia="Times New Roman" w:hAnsi="Arial" w:cs="Arial"/>
          <w:i/>
          <w:iCs/>
          <w:sz w:val="20"/>
          <w:szCs w:val="20"/>
        </w:rPr>
        <w:t>Rub</w:t>
      </w:r>
      <w:r>
        <w:rPr>
          <w:rFonts w:ascii="Arial" w:eastAsia="Times New Roman" w:hAnsi="Arial" w:cs="Arial"/>
          <w:i/>
          <w:iCs/>
          <w:sz w:val="20"/>
          <w:szCs w:val="20"/>
        </w:rPr>
        <w:t>instein</w:t>
      </w:r>
      <w:r>
        <w:rPr>
          <w:rFonts w:ascii="Arial" w:eastAsia="Times New Roman" w:hAnsi="Arial" w:cs="Arial"/>
          <w:sz w:val="20"/>
          <w:szCs w:val="20"/>
        </w:rPr>
        <w:t xml:space="preserve"> </w:t>
      </w:r>
      <w:r>
        <w:rPr>
          <w:rFonts w:ascii="Arial" w:eastAsia="Times New Roman" w:hAnsi="Arial" w:cs="Arial"/>
          <w:i/>
          <w:iCs/>
          <w:sz w:val="20"/>
          <w:szCs w:val="20"/>
        </w:rPr>
        <w:t>v.</w:t>
      </w:r>
      <w:r>
        <w:rPr>
          <w:rFonts w:ascii="Arial" w:eastAsia="Times New Roman" w:hAnsi="Arial" w:cs="Arial"/>
          <w:sz w:val="20"/>
          <w:szCs w:val="20"/>
        </w:rPr>
        <w:t xml:space="preserve"> </w:t>
      </w:r>
      <w:r>
        <w:rPr>
          <w:rFonts w:ascii="Arial" w:eastAsia="Times New Roman" w:hAnsi="Arial" w:cs="Arial"/>
          <w:i/>
          <w:iCs/>
          <w:sz w:val="20"/>
          <w:szCs w:val="20"/>
        </w:rPr>
        <w:t>Rubinstein</w:t>
      </w:r>
      <w:r>
        <w:rPr>
          <w:rFonts w:ascii="Arial" w:eastAsia="Times New Roman" w:hAnsi="Arial" w:cs="Arial"/>
          <w:sz w:val="20"/>
          <w:szCs w:val="20"/>
        </w:rPr>
        <w:t>, 130 AD2d 567.</w:t>
      </w:r>
    </w:p>
    <w:p w:rsidR="00000000" w:rsidRDefault="00484C17">
      <w:pPr>
        <w:ind w:left="720"/>
        <w:rPr>
          <w:rFonts w:eastAsia="Times New Roman"/>
        </w:rPr>
      </w:pPr>
      <w:r>
        <w:rPr>
          <w:rFonts w:ascii="Arial" w:eastAsia="Times New Roman" w:hAnsi="Arial" w:cs="Arial"/>
          <w:sz w:val="20"/>
          <w:szCs w:val="20"/>
        </w:rPr>
        <w:t>(6) 42 NY2d 63.</w:t>
      </w:r>
    </w:p>
    <w:p w:rsidR="00000000" w:rsidRDefault="00484C17">
      <w:pPr>
        <w:ind w:left="720"/>
        <w:rPr>
          <w:rFonts w:eastAsia="Times New Roman"/>
        </w:rPr>
      </w:pPr>
      <w:r>
        <w:rPr>
          <w:rFonts w:ascii="Arial" w:eastAsia="Times New Roman" w:hAnsi="Arial" w:cs="Arial"/>
          <w:sz w:val="20"/>
          <w:szCs w:val="20"/>
        </w:rPr>
        <w:t xml:space="preserve">(7) See </w:t>
      </w:r>
      <w:r>
        <w:rPr>
          <w:rFonts w:ascii="Arial" w:eastAsia="Times New Roman" w:hAnsi="Arial" w:cs="Arial"/>
          <w:i/>
          <w:iCs/>
          <w:sz w:val="20"/>
          <w:szCs w:val="20"/>
        </w:rPr>
        <w:t>Wile</w:t>
      </w:r>
      <w:r>
        <w:rPr>
          <w:rFonts w:ascii="Arial" w:eastAsia="Times New Roman" w:hAnsi="Arial" w:cs="Arial"/>
          <w:sz w:val="20"/>
          <w:szCs w:val="20"/>
        </w:rPr>
        <w:t xml:space="preserve"> </w:t>
      </w:r>
      <w:r>
        <w:rPr>
          <w:rFonts w:ascii="Arial" w:eastAsia="Times New Roman" w:hAnsi="Arial" w:cs="Arial"/>
          <w:i/>
          <w:iCs/>
          <w:sz w:val="20"/>
          <w:szCs w:val="20"/>
        </w:rPr>
        <w:t>v.</w:t>
      </w:r>
      <w:r>
        <w:rPr>
          <w:rFonts w:ascii="Arial" w:eastAsia="Times New Roman" w:hAnsi="Arial" w:cs="Arial"/>
          <w:sz w:val="20"/>
          <w:szCs w:val="20"/>
        </w:rPr>
        <w:t xml:space="preserve"> </w:t>
      </w:r>
      <w:r>
        <w:rPr>
          <w:rFonts w:ascii="Arial" w:eastAsia="Times New Roman" w:hAnsi="Arial" w:cs="Arial"/>
          <w:i/>
          <w:iCs/>
          <w:sz w:val="20"/>
          <w:szCs w:val="20"/>
        </w:rPr>
        <w:t>Wile</w:t>
      </w:r>
      <w:r>
        <w:rPr>
          <w:rFonts w:ascii="Arial" w:eastAsia="Times New Roman" w:hAnsi="Arial" w:cs="Arial"/>
          <w:sz w:val="20"/>
          <w:szCs w:val="20"/>
        </w:rPr>
        <w:t xml:space="preserve"> (2d Dept) 100 AD2d 932, which attached significance to such clauses.</w:t>
      </w:r>
    </w:p>
    <w:p w:rsidR="00000000" w:rsidRDefault="00484C17">
      <w:pPr>
        <w:ind w:left="720"/>
        <w:rPr>
          <w:rFonts w:eastAsia="Times New Roman"/>
        </w:rPr>
      </w:pPr>
      <w:r>
        <w:rPr>
          <w:rFonts w:ascii="Arial" w:eastAsia="Times New Roman" w:hAnsi="Arial" w:cs="Arial"/>
          <w:sz w:val="20"/>
          <w:szCs w:val="20"/>
        </w:rPr>
        <w:t xml:space="preserve">(8) </w:t>
      </w:r>
      <w:r>
        <w:rPr>
          <w:rFonts w:ascii="Arial" w:eastAsia="Times New Roman" w:hAnsi="Arial" w:cs="Arial"/>
          <w:i/>
          <w:iCs/>
          <w:sz w:val="20"/>
          <w:szCs w:val="20"/>
        </w:rPr>
        <w:t>Wile</w:t>
      </w:r>
      <w:r>
        <w:rPr>
          <w:rFonts w:ascii="Arial" w:eastAsia="Times New Roman" w:hAnsi="Arial" w:cs="Arial"/>
          <w:sz w:val="20"/>
          <w:szCs w:val="20"/>
        </w:rPr>
        <w:t xml:space="preserve"> </w:t>
      </w:r>
      <w:r>
        <w:rPr>
          <w:rFonts w:ascii="Arial" w:eastAsia="Times New Roman" w:hAnsi="Arial" w:cs="Arial"/>
          <w:i/>
          <w:iCs/>
          <w:sz w:val="20"/>
          <w:szCs w:val="20"/>
        </w:rPr>
        <w:t>v.</w:t>
      </w:r>
      <w:r>
        <w:rPr>
          <w:rFonts w:ascii="Arial" w:eastAsia="Times New Roman" w:hAnsi="Arial" w:cs="Arial"/>
          <w:sz w:val="20"/>
          <w:szCs w:val="20"/>
        </w:rPr>
        <w:t xml:space="preserve"> </w:t>
      </w:r>
      <w:r>
        <w:rPr>
          <w:rFonts w:ascii="Arial" w:eastAsia="Times New Roman" w:hAnsi="Arial" w:cs="Arial"/>
          <w:i/>
          <w:iCs/>
          <w:sz w:val="20"/>
          <w:szCs w:val="20"/>
        </w:rPr>
        <w:t>Wile</w:t>
      </w:r>
      <w:r>
        <w:rPr>
          <w:rFonts w:ascii="Arial" w:eastAsia="Times New Roman" w:hAnsi="Arial" w:cs="Arial"/>
          <w:sz w:val="20"/>
          <w:szCs w:val="20"/>
        </w:rPr>
        <w:t xml:space="preserve">, supra. </w:t>
      </w:r>
      <w:r>
        <w:rPr>
          <w:rFonts w:ascii="Arial" w:eastAsia="Times New Roman" w:hAnsi="Arial" w:cs="Arial"/>
          <w:i/>
          <w:iCs/>
          <w:sz w:val="20"/>
          <w:szCs w:val="20"/>
        </w:rPr>
        <w:t>Levine v. Levine,</w:t>
      </w:r>
      <w:r>
        <w:rPr>
          <w:rFonts w:ascii="Arial" w:eastAsia="Times New Roman" w:hAnsi="Arial" w:cs="Arial"/>
          <w:sz w:val="20"/>
          <w:szCs w:val="20"/>
        </w:rPr>
        <w:t xml:space="preserve"> 56 NY2d 42 (1982).</w:t>
      </w:r>
    </w:p>
    <w:p w:rsidR="00000000" w:rsidRDefault="00484C17">
      <w:pPr>
        <w:ind w:left="720"/>
        <w:rPr>
          <w:rFonts w:eastAsia="Times New Roman"/>
        </w:rPr>
      </w:pPr>
      <w:r>
        <w:rPr>
          <w:rFonts w:ascii="Arial" w:eastAsia="Times New Roman" w:hAnsi="Arial" w:cs="Arial"/>
          <w:sz w:val="20"/>
          <w:szCs w:val="20"/>
        </w:rPr>
        <w:t>(9) (3d Dept) 100 AD2d 704.</w:t>
      </w:r>
    </w:p>
    <w:p w:rsidR="00000000" w:rsidRDefault="00484C17">
      <w:pPr>
        <w:ind w:left="720"/>
        <w:rPr>
          <w:rFonts w:eastAsia="Times New Roman"/>
        </w:rPr>
      </w:pPr>
      <w:r>
        <w:rPr>
          <w:rFonts w:ascii="Arial" w:eastAsia="Times New Roman" w:hAnsi="Arial" w:cs="Arial"/>
          <w:sz w:val="20"/>
          <w:szCs w:val="20"/>
        </w:rPr>
        <w:t>(10) __ NY2d __ , 98 N.</w:t>
      </w:r>
      <w:r>
        <w:rPr>
          <w:rFonts w:ascii="Arial" w:eastAsia="Times New Roman" w:hAnsi="Arial" w:cs="Arial"/>
          <w:sz w:val="20"/>
          <w:szCs w:val="20"/>
        </w:rPr>
        <w:t>Y. Int. 0130. Oct. 27, 1998.</w:t>
      </w:r>
    </w:p>
    <w:p w:rsidR="00000000" w:rsidRDefault="00484C17">
      <w:pPr>
        <w:ind w:left="720"/>
        <w:rPr>
          <w:rFonts w:eastAsia="Times New Roman"/>
        </w:rPr>
      </w:pPr>
      <w:r>
        <w:rPr>
          <w:rFonts w:ascii="Arial" w:eastAsia="Times New Roman" w:hAnsi="Arial" w:cs="Arial"/>
          <w:sz w:val="20"/>
          <w:szCs w:val="20"/>
        </w:rPr>
        <w:t xml:space="preserve">(11) </w:t>
      </w:r>
      <w:r>
        <w:rPr>
          <w:rFonts w:ascii="Arial" w:eastAsia="Times New Roman" w:hAnsi="Arial" w:cs="Arial"/>
          <w:i/>
          <w:iCs/>
          <w:sz w:val="20"/>
          <w:szCs w:val="20"/>
        </w:rPr>
        <w:t>Matter of Gordon</w:t>
      </w:r>
      <w:r>
        <w:rPr>
          <w:rFonts w:ascii="Arial" w:eastAsia="Times New Roman" w:hAnsi="Arial" w:cs="Arial"/>
          <w:sz w:val="20"/>
          <w:szCs w:val="20"/>
        </w:rPr>
        <w:t xml:space="preserve"> v. </w:t>
      </w:r>
      <w:r>
        <w:rPr>
          <w:rFonts w:ascii="Arial" w:eastAsia="Times New Roman" w:hAnsi="Arial" w:cs="Arial"/>
          <w:i/>
          <w:iCs/>
          <w:sz w:val="20"/>
          <w:szCs w:val="20"/>
        </w:rPr>
        <w:t>Bialystoker Ctr. and Bikur Cholim</w:t>
      </w:r>
      <w:r>
        <w:rPr>
          <w:rFonts w:ascii="Arial" w:eastAsia="Times New Roman" w:hAnsi="Arial" w:cs="Arial"/>
          <w:sz w:val="20"/>
          <w:szCs w:val="20"/>
        </w:rPr>
        <w:t>, 45 NY2d 692.</w:t>
      </w:r>
    </w:p>
    <w:p w:rsidR="00000000" w:rsidRDefault="00484C17">
      <w:pPr>
        <w:ind w:left="720"/>
        <w:rPr>
          <w:rFonts w:eastAsia="Times New Roman"/>
        </w:rPr>
      </w:pPr>
      <w:r>
        <w:rPr>
          <w:rFonts w:ascii="Arial" w:eastAsia="Times New Roman" w:hAnsi="Arial" w:cs="Arial"/>
          <w:sz w:val="20"/>
          <w:szCs w:val="20"/>
        </w:rPr>
        <w:t xml:space="preserve">(12) </w:t>
      </w:r>
      <w:r>
        <w:rPr>
          <w:rFonts w:ascii="Arial" w:eastAsia="Times New Roman" w:hAnsi="Arial" w:cs="Arial"/>
          <w:i/>
          <w:iCs/>
          <w:sz w:val="20"/>
          <w:szCs w:val="20"/>
        </w:rPr>
        <w:t>Matter of Phillips</w:t>
      </w:r>
      <w:r>
        <w:rPr>
          <w:rFonts w:ascii="Arial" w:eastAsia="Times New Roman" w:hAnsi="Arial" w:cs="Arial"/>
          <w:sz w:val="20"/>
          <w:szCs w:val="20"/>
        </w:rPr>
        <w:t>, supra.</w:t>
      </w:r>
    </w:p>
    <w:p w:rsidR="00000000" w:rsidRDefault="00484C17">
      <w:pPr>
        <w:ind w:left="720"/>
        <w:rPr>
          <w:rFonts w:eastAsia="Times New Roman"/>
        </w:rPr>
      </w:pPr>
      <w:r>
        <w:rPr>
          <w:rFonts w:ascii="Arial" w:eastAsia="Times New Roman" w:hAnsi="Arial" w:cs="Arial"/>
          <w:sz w:val="20"/>
          <w:szCs w:val="20"/>
        </w:rPr>
        <w:t>(13) 42 NY2d 63 (1977).</w:t>
      </w:r>
    </w:p>
    <w:p w:rsidR="00000000" w:rsidRDefault="00484C17">
      <w:pPr>
        <w:ind w:left="720"/>
        <w:rPr>
          <w:rFonts w:eastAsia="Times New Roman"/>
        </w:rPr>
      </w:pPr>
      <w:r>
        <w:rPr>
          <w:rFonts w:ascii="Arial" w:eastAsia="Times New Roman" w:hAnsi="Arial" w:cs="Arial"/>
          <w:sz w:val="20"/>
          <w:szCs w:val="20"/>
        </w:rPr>
        <w:t>(14) Supra, N. 11.</w:t>
      </w:r>
    </w:p>
    <w:p w:rsidR="00000000" w:rsidRDefault="00484C17">
      <w:pPr>
        <w:ind w:left="720"/>
        <w:rPr>
          <w:rFonts w:eastAsia="Times New Roman"/>
        </w:rPr>
      </w:pPr>
      <w:r>
        <w:rPr>
          <w:rFonts w:ascii="Arial" w:eastAsia="Times New Roman" w:hAnsi="Arial" w:cs="Arial"/>
          <w:sz w:val="20"/>
          <w:szCs w:val="20"/>
        </w:rPr>
        <w:t>(15) 143 NY 573, 579, 580.</w:t>
      </w:r>
    </w:p>
    <w:p w:rsidR="00000000" w:rsidRDefault="00484C17">
      <w:pPr>
        <w:ind w:left="720"/>
        <w:rPr>
          <w:rFonts w:eastAsia="Times New Roman"/>
        </w:rPr>
      </w:pPr>
      <w:r>
        <w:rPr>
          <w:rFonts w:ascii="Arial" w:eastAsia="Times New Roman" w:hAnsi="Arial" w:cs="Arial"/>
          <w:sz w:val="20"/>
          <w:szCs w:val="20"/>
        </w:rPr>
        <w:t>(16) Supra.</w:t>
      </w:r>
    </w:p>
    <w:p w:rsidR="00000000" w:rsidRDefault="00484C17">
      <w:pPr>
        <w:ind w:left="720"/>
        <w:rPr>
          <w:rFonts w:eastAsia="Times New Roman"/>
        </w:rPr>
      </w:pPr>
      <w:r>
        <w:rPr>
          <w:rFonts w:ascii="Arial" w:eastAsia="Times New Roman" w:hAnsi="Arial" w:cs="Arial"/>
        </w:rPr>
        <w:t>*********</w:t>
      </w:r>
    </w:p>
    <w:p w:rsidR="00000000" w:rsidRDefault="00484C17">
      <w:pPr>
        <w:rPr>
          <w:rFonts w:eastAsia="Times New Roman"/>
        </w:rPr>
      </w:pPr>
      <w:r>
        <w:rPr>
          <w:rFonts w:eastAsia="Times New Roman"/>
        </w:rPr>
        <w:pict>
          <v:rect id="_x0000_i1026" style="width:0;height:1.5pt" o:hralign="center" o:hrstd="t" o:hr="t" fillcolor="#a0a0a0" stroked="f"/>
        </w:pict>
      </w:r>
    </w:p>
    <w:p w:rsidR="00000000" w:rsidRDefault="00484C17">
      <w:pPr>
        <w:pStyle w:val="NormalWeb"/>
      </w:pPr>
      <w:r>
        <w:rPr>
          <w:b/>
          <w:bCs/>
        </w:rPr>
        <w:t xml:space="preserve">Joel R. Brandes </w:t>
      </w:r>
      <w:r>
        <w:rPr>
          <w:i/>
          <w:iCs/>
        </w:rPr>
        <w:t xml:space="preserve">has law offices in Garden City and New York City. He co-authored the nine-volume </w:t>
      </w:r>
      <w:r>
        <w:t xml:space="preserve">Law and the Family New York </w:t>
      </w:r>
      <w:r>
        <w:rPr>
          <w:i/>
          <w:iCs/>
        </w:rPr>
        <w:t xml:space="preserve">and </w:t>
      </w:r>
      <w:r>
        <w:t xml:space="preserve">Law and the Family New York Forms </w:t>
      </w:r>
      <w:r>
        <w:rPr>
          <w:i/>
          <w:iCs/>
        </w:rPr>
        <w:t>(both, published by Westgroup).</w:t>
      </w:r>
      <w:r>
        <w:t xml:space="preserve"> </w:t>
      </w:r>
      <w:r>
        <w:rPr>
          <w:b/>
          <w:bCs/>
        </w:rPr>
        <w:t xml:space="preserve">Bari B. Brandes, </w:t>
      </w:r>
      <w:r>
        <w:rPr>
          <w:i/>
          <w:iCs/>
        </w:rPr>
        <w:t>Emory Un</w:t>
      </w:r>
      <w:r>
        <w:rPr>
          <w:i/>
          <w:iCs/>
        </w:rPr>
        <w:t>iversity, School of Law, Class of 1998, assisted in the preparation of this article.</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84C17"/>
    <w:rsid w:val="0048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1ED594-EEEB-449A-8E60-43DD43EE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496071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12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3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95485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11072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validity of Prenuptual Agreements. New York Divorce and Family Law, the definitive site about divorce, child support and custody.</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validity of Prenuptual Agreements. New York Divorce and Family Law, the definitive site about divorce, child support and custody.</dc:title>
  <dc:subject/>
  <dc:creator>Joel Brandes</dc:creator>
  <cp:keywords/>
  <dc:description/>
  <cp:lastModifiedBy>Joel Brandes</cp:lastModifiedBy>
  <cp:revision>2</cp:revision>
  <dcterms:created xsi:type="dcterms:W3CDTF">2016-07-12T01:03:00Z</dcterms:created>
  <dcterms:modified xsi:type="dcterms:W3CDTF">2016-07-12T01:03:00Z</dcterms:modified>
</cp:coreProperties>
</file>