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042B3">
      <w:pPr>
        <w:pStyle w:val="NormalWeb"/>
        <w:divId w:val="846408658"/>
      </w:pPr>
      <w:r>
        <w:t>LAW AND THE FAMILY</w:t>
      </w:r>
      <w:bookmarkStart w:id="0" w:name="_GoBack"/>
      <w:bookmarkEnd w:id="0"/>
    </w:p>
    <w:p w:rsidR="00000000" w:rsidRDefault="001042B3">
      <w:pPr>
        <w:pStyle w:val="Heading2"/>
        <w:divId w:val="846408658"/>
        <w:rPr>
          <w:rFonts w:eastAsia="Times New Roman"/>
        </w:rPr>
      </w:pPr>
      <w:r>
        <w:rPr>
          <w:rFonts w:eastAsia="Times New Roman"/>
        </w:rPr>
        <w:t xml:space="preserve">The 'Federalization' of Child Support Issues </w:t>
      </w:r>
    </w:p>
    <w:p w:rsidR="00000000" w:rsidRDefault="001042B3">
      <w:pPr>
        <w:pStyle w:val="NormalWeb"/>
        <w:divId w:val="846408658"/>
      </w:pPr>
      <w:r>
        <w:t>By Joel R. Brandes</w:t>
      </w:r>
    </w:p>
    <w:p w:rsidR="00000000" w:rsidRDefault="001042B3">
      <w:pPr>
        <w:pStyle w:val="NormalWeb"/>
        <w:divId w:val="846408658"/>
      </w:pPr>
      <w:hyperlink r:id="rId4" w:history="1">
        <w:r>
          <w:rPr>
            <w:rStyle w:val="Hyperlink"/>
          </w:rPr>
          <w:t>The New York Law Journal</w:t>
        </w:r>
      </w:hyperlink>
      <w:r>
        <w:br/>
        <w:t>January 27, 1998</w:t>
      </w:r>
    </w:p>
    <w:p w:rsidR="00000000" w:rsidRDefault="001042B3">
      <w:pPr>
        <w:pStyle w:val="NormalWeb"/>
        <w:divId w:val="846408658"/>
      </w:pPr>
      <w:r>
        <w:rPr>
          <w:sz w:val="72"/>
          <w:szCs w:val="72"/>
        </w:rPr>
        <w:t>S</w:t>
      </w:r>
      <w:r>
        <w:t xml:space="preserve">INCE 1986, NEW YORK'S family laws have undergone major reform. </w:t>
      </w:r>
      <w:r>
        <w:t>In the area of child support, change was caused partly by the enactment of the Child Support Standards Act</w:t>
      </w:r>
      <w:hyperlink w:anchor="bottom" w:history="1">
        <w:r>
          <w:rPr>
            <w:rStyle w:val="Hyperlink"/>
          </w:rPr>
          <w:t>1</w:t>
        </w:r>
      </w:hyperlink>
      <w:r>
        <w:t xml:space="preserve"> and partly by the Court of Appeals' liberal construction of its provisions in an attempt to give broad meaning to the p</w:t>
      </w:r>
      <w:r>
        <w:t>hrase "the best interest of the child."</w:t>
      </w:r>
      <w:hyperlink w:anchor="bottom" w:history="1">
        <w:r>
          <w:rPr>
            <w:rStyle w:val="Hyperlink"/>
          </w:rPr>
          <w:t>2</w:t>
        </w:r>
      </w:hyperlink>
    </w:p>
    <w:p w:rsidR="00000000" w:rsidRDefault="001042B3">
      <w:pPr>
        <w:ind w:left="720"/>
        <w:divId w:val="846408658"/>
        <w:rPr>
          <w:rFonts w:eastAsia="Times New Roman"/>
        </w:rPr>
      </w:pPr>
      <w:r>
        <w:rPr>
          <w:rFonts w:eastAsia="Times New Roman"/>
        </w:rPr>
        <w:t>A similar approach was adopted by the Court of Appeals in custody cases, where it has emphasized viewing the totality of the circumstances to determine the best interests of the child.</w:t>
      </w:r>
      <w:hyperlink w:anchor="bottom" w:history="1">
        <w:r>
          <w:rPr>
            <w:rStyle w:val="Hyperlink"/>
            <w:rFonts w:eastAsia="Times New Roman"/>
          </w:rPr>
          <w:t>3</w:t>
        </w:r>
      </w:hyperlink>
      <w:r>
        <w:rPr>
          <w:rFonts w:eastAsia="Times New Roman"/>
        </w:rPr>
        <w:t xml:space="preserve"> While the rights of both parents are significant factors to be considered in custody disputes the Court has emphasized that the rights and needs of the children must be accorded the greatest weight, since they are innocent vict</w:t>
      </w:r>
      <w:r>
        <w:rPr>
          <w:rFonts w:eastAsia="Times New Roman"/>
        </w:rPr>
        <w:t>ims of their parents' decision to divorce.</w:t>
      </w:r>
    </w:p>
    <w:p w:rsidR="00000000" w:rsidRDefault="001042B3">
      <w:pPr>
        <w:pStyle w:val="NormalWeb"/>
        <w:divId w:val="846408658"/>
        <w:rPr>
          <w:b/>
          <w:bCs/>
        </w:rPr>
      </w:pPr>
      <w:r>
        <w:rPr>
          <w:b/>
          <w:bCs/>
        </w:rPr>
        <w:t>'Federalization' of Family Law</w:t>
      </w:r>
    </w:p>
    <w:p w:rsidR="00000000" w:rsidRDefault="001042B3">
      <w:pPr>
        <w:ind w:left="720"/>
        <w:divId w:val="846408658"/>
        <w:rPr>
          <w:rFonts w:eastAsia="Times New Roman"/>
        </w:rPr>
      </w:pPr>
      <w:r>
        <w:rPr>
          <w:rFonts w:eastAsia="Times New Roman"/>
        </w:rPr>
        <w:t>This "reform" of New York's child support laws came about primarily because of the "federalization" of family law, which began with the Social Security Amendments of 1975 that enacte</w:t>
      </w:r>
      <w:r>
        <w:rPr>
          <w:rFonts w:eastAsia="Times New Roman"/>
        </w:rPr>
        <w:t>d Title IV-D of the Social Security Act.</w:t>
      </w:r>
      <w:hyperlink w:anchor="bottom" w:history="1">
        <w:r>
          <w:rPr>
            <w:rStyle w:val="Hyperlink"/>
            <w:rFonts w:eastAsia="Times New Roman"/>
          </w:rPr>
          <w:t>4</w:t>
        </w:r>
      </w:hyperlink>
      <w:r>
        <w:rPr>
          <w:rFonts w:eastAsia="Times New Roman"/>
        </w:rPr>
        <w:t xml:space="preserve"> Although there were earlier amendments to the Social Security Act in 1950 and 1968, which required the then Department of Health, Education and Welfare (HEW) to "encourage" the states t</w:t>
      </w:r>
      <w:r>
        <w:rPr>
          <w:rFonts w:eastAsia="Times New Roman"/>
        </w:rPr>
        <w:t>o improve their child support programs, they were largely ineffectual. One of the important provisions of the 1975 amendment was the creation in HEW of the Office of Child Support Enforcement, which was made responsible for the nationwide child support enf</w:t>
      </w:r>
      <w:r>
        <w:rPr>
          <w:rFonts w:eastAsia="Times New Roman"/>
        </w:rPr>
        <w:t>orcement program.</w:t>
      </w:r>
    </w:p>
    <w:p w:rsidR="00000000" w:rsidRDefault="001042B3">
      <w:pPr>
        <w:ind w:left="720"/>
        <w:divId w:val="846408658"/>
        <w:rPr>
          <w:rFonts w:eastAsia="Times New Roman"/>
        </w:rPr>
      </w:pPr>
      <w:r>
        <w:rPr>
          <w:rFonts w:eastAsia="Times New Roman"/>
        </w:rPr>
        <w:t xml:space="preserve">The Office of Child Support Enforcement (OCSE) was authorized to promulgate child support standards that states had to meet or lose 5 percent of federal Aid For Dependant Children. If, on the other hand, a state's enforcement program met </w:t>
      </w:r>
      <w:r>
        <w:rPr>
          <w:rFonts w:eastAsia="Times New Roman"/>
        </w:rPr>
        <w:t xml:space="preserve">federal standards, 75 percent of the program's cost was paid out of HEW funding. Regional OCSE offices were also established for liaison with state agencies operating under Title IV-D. Extensive regulations were issued on the maintenance of case </w:t>
      </w:r>
      <w:r>
        <w:rPr>
          <w:rFonts w:eastAsia="Times New Roman"/>
        </w:rPr>
        <w:lastRenderedPageBreak/>
        <w:t>records, l</w:t>
      </w:r>
      <w:r>
        <w:rPr>
          <w:rFonts w:eastAsia="Times New Roman"/>
        </w:rPr>
        <w:t>ocation of absent parents, establishment of paternity and support obligations, enforcement of support orders, and cooperation among states.</w:t>
      </w:r>
    </w:p>
    <w:p w:rsidR="00000000" w:rsidRDefault="001042B3">
      <w:pPr>
        <w:ind w:left="720"/>
        <w:divId w:val="846408658"/>
        <w:rPr>
          <w:rFonts w:eastAsia="Times New Roman"/>
        </w:rPr>
      </w:pPr>
      <w:r>
        <w:rPr>
          <w:rFonts w:eastAsia="Times New Roman"/>
        </w:rPr>
        <w:t>In 1982 another federal statute established a federal Parent Locator Service, which was available to the custodial p</w:t>
      </w:r>
      <w:r>
        <w:rPr>
          <w:rFonts w:eastAsia="Times New Roman"/>
        </w:rPr>
        <w:t>arents of children who were on welfare. A network of state Parent Locator Services was tied in to the federal service. In addition, access was given to records of the Internal Revenue Service. This facilitated the location of spouses who were not in compli</w:t>
      </w:r>
      <w:r>
        <w:rPr>
          <w:rFonts w:eastAsia="Times New Roman"/>
        </w:rPr>
        <w:t>ance with court support orders and allowed the interception of federal tax refunds.</w:t>
      </w:r>
    </w:p>
    <w:p w:rsidR="00000000" w:rsidRDefault="001042B3">
      <w:pPr>
        <w:ind w:left="720"/>
        <w:divId w:val="846408658"/>
        <w:rPr>
          <w:rFonts w:eastAsia="Times New Roman"/>
        </w:rPr>
      </w:pPr>
      <w:r>
        <w:rPr>
          <w:rFonts w:eastAsia="Times New Roman"/>
        </w:rPr>
        <w:t>The Child Support Amendments of 1984</w:t>
      </w:r>
      <w:hyperlink w:anchor="bottom" w:history="1">
        <w:r>
          <w:rPr>
            <w:rStyle w:val="Hyperlink"/>
            <w:rFonts w:eastAsia="Times New Roman"/>
          </w:rPr>
          <w:t>5</w:t>
        </w:r>
      </w:hyperlink>
      <w:r>
        <w:rPr>
          <w:rFonts w:eastAsia="Times New Roman"/>
        </w:rPr>
        <w:t xml:space="preserve"> were intended to build on Title IV-D. They established certain procedures and remedies for the collection</w:t>
      </w:r>
      <w:r>
        <w:rPr>
          <w:rFonts w:eastAsia="Times New Roman"/>
        </w:rPr>
        <w:t xml:space="preserve"> and enforcement of child support orders, which were made available to both AFDC and non-AFDC families. States had to set up mandatory income withholding procedures. This further "federalized" the enforcement and collection of child support. It was the mos</w:t>
      </w:r>
      <w:r>
        <w:rPr>
          <w:rFonts w:eastAsia="Times New Roman"/>
        </w:rPr>
        <w:t xml:space="preserve">t significant legislation on child support, since all states adopted statutes for the interstate enforcement of the child support obligation. </w:t>
      </w:r>
    </w:p>
    <w:p w:rsidR="00000000" w:rsidRDefault="001042B3">
      <w:pPr>
        <w:ind w:left="720"/>
        <w:divId w:val="846408658"/>
        <w:rPr>
          <w:rFonts w:eastAsia="Times New Roman"/>
        </w:rPr>
      </w:pPr>
      <w:r>
        <w:rPr>
          <w:rFonts w:eastAsia="Times New Roman"/>
        </w:rPr>
        <w:t xml:space="preserve">The amendments expedited judicial and administrative processes in child support cases. The interception of state </w:t>
      </w:r>
      <w:r>
        <w:rPr>
          <w:rFonts w:eastAsia="Times New Roman"/>
        </w:rPr>
        <w:t>and federal tax refunds was authorized, as was the imposition of liens on real and personal property and the posting of security or bonds to guarantee support payments. In addition, credit bureaus became entitled to information on support arrearages in exc</w:t>
      </w:r>
      <w:r>
        <w:rPr>
          <w:rFonts w:eastAsia="Times New Roman"/>
        </w:rPr>
        <w:t>ess of $1,000, and statutes of limitation on the establishment of paternity had to be extended at least until the child's 18th birthday.</w:t>
      </w:r>
    </w:p>
    <w:p w:rsidR="00000000" w:rsidRDefault="001042B3">
      <w:pPr>
        <w:ind w:left="720"/>
        <w:divId w:val="846408658"/>
        <w:rPr>
          <w:rFonts w:eastAsia="Times New Roman"/>
        </w:rPr>
      </w:pPr>
      <w:r>
        <w:rPr>
          <w:rFonts w:eastAsia="Times New Roman"/>
        </w:rPr>
        <w:t>States were required to establish a one-time commission to study, educate and recommend improvements in their child sup</w:t>
      </w:r>
      <w:r>
        <w:rPr>
          <w:rFonts w:eastAsia="Times New Roman"/>
        </w:rPr>
        <w:t xml:space="preserve">port systems, and they were had to publish their AFDC programs. States also were required to collect alimony or maintenance for the custodial parent, as well as child support where a court order on spousal support existed. Health insurance was mandated as </w:t>
      </w:r>
      <w:r>
        <w:rPr>
          <w:rFonts w:eastAsia="Times New Roman"/>
        </w:rPr>
        <w:t>part of a support order if available to the obligor at a reasonable cost.</w:t>
      </w:r>
    </w:p>
    <w:p w:rsidR="00000000" w:rsidRDefault="001042B3">
      <w:pPr>
        <w:pStyle w:val="NormalWeb"/>
        <w:divId w:val="846408658"/>
        <w:rPr>
          <w:b/>
          <w:bCs/>
        </w:rPr>
      </w:pPr>
      <w:r>
        <w:rPr>
          <w:b/>
          <w:bCs/>
        </w:rPr>
        <w:t>Restructured Funds</w:t>
      </w:r>
    </w:p>
    <w:p w:rsidR="00000000" w:rsidRDefault="001042B3">
      <w:pPr>
        <w:ind w:left="720"/>
        <w:divId w:val="846408658"/>
        <w:rPr>
          <w:rFonts w:eastAsia="Times New Roman"/>
        </w:rPr>
      </w:pPr>
      <w:r>
        <w:rPr>
          <w:rFonts w:eastAsia="Times New Roman"/>
        </w:rPr>
        <w:t>Federal matching funds and incentive payments were restructured, with the latter encouraging non-AFDC collections as well as AFDC collections. This provision suppl</w:t>
      </w:r>
      <w:r>
        <w:rPr>
          <w:rFonts w:eastAsia="Times New Roman"/>
        </w:rPr>
        <w:t xml:space="preserve">ied the leverage needed for implementation of the 1984 statute, since a loss of AFDC funding would be an economic disaster for most if not all states. Oct. 1, 1989, was the deadline for states to formulate statutory guidelines for child support, including </w:t>
      </w:r>
      <w:r>
        <w:rPr>
          <w:rFonts w:eastAsia="Times New Roman"/>
        </w:rPr>
        <w:t>schedules as to the amount of support.</w:t>
      </w:r>
    </w:p>
    <w:p w:rsidR="00000000" w:rsidRDefault="001042B3">
      <w:pPr>
        <w:ind w:left="720"/>
        <w:divId w:val="846408658"/>
        <w:rPr>
          <w:rFonts w:eastAsia="Times New Roman"/>
        </w:rPr>
      </w:pPr>
      <w:r>
        <w:rPr>
          <w:rFonts w:eastAsia="Times New Roman"/>
        </w:rPr>
        <w:t>To comply with the federal requirements The New York State Support Enforcement Act of 1985 was passed and signed into law on Aug. 7, 1985.</w:t>
      </w:r>
    </w:p>
    <w:p w:rsidR="00000000" w:rsidRDefault="001042B3">
      <w:pPr>
        <w:ind w:left="720"/>
        <w:divId w:val="846408658"/>
        <w:rPr>
          <w:rFonts w:eastAsia="Times New Roman"/>
        </w:rPr>
      </w:pPr>
      <w:r>
        <w:rPr>
          <w:rFonts w:eastAsia="Times New Roman"/>
        </w:rPr>
        <w:t>In 1986, the Bradley Amendment to Tile IV-D</w:t>
      </w:r>
      <w:hyperlink w:anchor="bottom" w:history="1">
        <w:r>
          <w:rPr>
            <w:rStyle w:val="Hyperlink"/>
            <w:rFonts w:eastAsia="Times New Roman"/>
          </w:rPr>
          <w:t>6</w:t>
        </w:r>
      </w:hyperlink>
      <w:r>
        <w:rPr>
          <w:rFonts w:eastAsia="Times New Roman"/>
        </w:rPr>
        <w:t xml:space="preserve"> dire</w:t>
      </w:r>
      <w:r>
        <w:rPr>
          <w:rFonts w:eastAsia="Times New Roman"/>
        </w:rPr>
        <w:t xml:space="preserve">cted states to enact laws that prohibit retroactive reduction of a child support arrearage </w:t>
      </w:r>
      <w:r>
        <w:rPr>
          <w:rFonts w:eastAsia="Times New Roman"/>
        </w:rPr>
        <w:lastRenderedPageBreak/>
        <w:t>stemming from a court order. This prompted the New York State Support Enforcement Act of 1986,</w:t>
      </w:r>
      <w:hyperlink w:anchor="bottom" w:history="1">
        <w:r>
          <w:rPr>
            <w:rStyle w:val="Hyperlink"/>
            <w:rFonts w:eastAsia="Times New Roman"/>
          </w:rPr>
          <w:t>7</w:t>
        </w:r>
      </w:hyperlink>
      <w:r>
        <w:rPr>
          <w:rFonts w:eastAsia="Times New Roman"/>
        </w:rPr>
        <w:t xml:space="preserve"> in which the Legislature carved out a sp</w:t>
      </w:r>
      <w:r>
        <w:rPr>
          <w:rFonts w:eastAsia="Times New Roman"/>
        </w:rPr>
        <w:t>ecial category for child support arrears, which barred any reduction or cancellation. The law created the current version of Domestic Relation Law §244, which mandates that the court "shall make an order directing the entry of judgment for the amount of ar</w:t>
      </w:r>
      <w:r>
        <w:rPr>
          <w:rFonts w:eastAsia="Times New Roman"/>
        </w:rPr>
        <w:t>rears of child support," without exception.</w:t>
      </w:r>
      <w:hyperlink w:anchor="bottom" w:history="1">
        <w:r>
          <w:rPr>
            <w:rStyle w:val="Hyperlink"/>
            <w:rFonts w:eastAsia="Times New Roman"/>
          </w:rPr>
          <w:t>8</w:t>
        </w:r>
      </w:hyperlink>
    </w:p>
    <w:p w:rsidR="00000000" w:rsidRDefault="001042B3">
      <w:pPr>
        <w:ind w:left="720"/>
        <w:divId w:val="846408658"/>
        <w:rPr>
          <w:rFonts w:eastAsia="Times New Roman"/>
        </w:rPr>
      </w:pPr>
      <w:r>
        <w:rPr>
          <w:rFonts w:eastAsia="Times New Roman"/>
        </w:rPr>
        <w:t>Congress next enacted the "Family Support Act of 1988."</w:t>
      </w:r>
      <w:hyperlink w:anchor="bottom" w:history="1">
        <w:r>
          <w:rPr>
            <w:rStyle w:val="Hyperlink"/>
            <w:rFonts w:eastAsia="Times New Roman"/>
          </w:rPr>
          <w:t>9</w:t>
        </w:r>
      </w:hyperlink>
      <w:r>
        <w:rPr>
          <w:rFonts w:eastAsia="Times New Roman"/>
        </w:rPr>
        <w:t xml:space="preserve"> As a consequence of the 1984 Title IV-D amendments, each state had to have statewide child suppo</w:t>
      </w:r>
      <w:r>
        <w:rPr>
          <w:rFonts w:eastAsia="Times New Roman"/>
        </w:rPr>
        <w:t xml:space="preserve">rt guidelines in effect by Oct. 18, 1989. On July 17, 1989, the "Child Support Standards Act" became New York law. It adopted a numerical formula for determining the level of child support, based on a percentage of the combined gross income of the parents </w:t>
      </w:r>
      <w:r>
        <w:rPr>
          <w:rFonts w:eastAsia="Times New Roman"/>
        </w:rPr>
        <w:t>and the number of children to be supported. This formula must be used unless the court determines that its application is unjust or inappropriate.</w:t>
      </w:r>
      <w:hyperlink w:anchor="bottom" w:history="1">
        <w:r>
          <w:rPr>
            <w:rStyle w:val="Hyperlink"/>
            <w:rFonts w:eastAsia="Times New Roman"/>
          </w:rPr>
          <w:t>10</w:t>
        </w:r>
      </w:hyperlink>
    </w:p>
    <w:p w:rsidR="00000000" w:rsidRDefault="001042B3">
      <w:pPr>
        <w:ind w:left="720"/>
        <w:divId w:val="846408658"/>
        <w:rPr>
          <w:rFonts w:eastAsia="Times New Roman"/>
        </w:rPr>
      </w:pPr>
      <w:r>
        <w:rPr>
          <w:rFonts w:eastAsia="Times New Roman"/>
        </w:rPr>
        <w:t>The federal "Child Support Recovery Act of 1992" made it a federal crime to wi</w:t>
      </w:r>
      <w:r>
        <w:rPr>
          <w:rFonts w:eastAsia="Times New Roman"/>
        </w:rPr>
        <w:t>llfully fail to pay a past-due support obligation with respect to a child who resides in another state.</w:t>
      </w:r>
      <w:hyperlink w:anchor="bottom" w:history="1">
        <w:r>
          <w:rPr>
            <w:rStyle w:val="Hyperlink"/>
            <w:rFonts w:eastAsia="Times New Roman"/>
          </w:rPr>
          <w:t>11</w:t>
        </w:r>
      </w:hyperlink>
      <w:r>
        <w:rPr>
          <w:rFonts w:eastAsia="Times New Roman"/>
        </w:rPr>
        <w:t xml:space="preserve"> In 1994, Congress adopted the "Full Faith and Credit for Child Support Orders Act," which requires each state to enforce </w:t>
      </w:r>
      <w:r>
        <w:rPr>
          <w:rFonts w:eastAsia="Times New Roman"/>
        </w:rPr>
        <w:t>a child support order, by a court of anoth-</w:t>
      </w:r>
    </w:p>
    <w:p w:rsidR="00000000" w:rsidRDefault="001042B3">
      <w:pPr>
        <w:ind w:left="720"/>
        <w:divId w:val="846408658"/>
        <w:rPr>
          <w:rFonts w:eastAsia="Times New Roman"/>
        </w:rPr>
      </w:pPr>
      <w:r>
        <w:rPr>
          <w:rFonts w:eastAsia="Times New Roman"/>
        </w:rPr>
        <w:t>er state, that is consistent with the act, according to the order's own terms, and not to permit a modification of such an order except in accordance with the act.</w:t>
      </w:r>
      <w:hyperlink w:anchor="bottom" w:history="1">
        <w:r>
          <w:rPr>
            <w:rStyle w:val="Hyperlink"/>
            <w:rFonts w:eastAsia="Times New Roman"/>
          </w:rPr>
          <w:t>12</w:t>
        </w:r>
      </w:hyperlink>
    </w:p>
    <w:p w:rsidR="00000000" w:rsidRDefault="001042B3">
      <w:pPr>
        <w:ind w:left="720"/>
        <w:divId w:val="846408658"/>
        <w:rPr>
          <w:rFonts w:eastAsia="Times New Roman"/>
        </w:rPr>
      </w:pPr>
      <w:r>
        <w:rPr>
          <w:rFonts w:eastAsia="Times New Roman"/>
        </w:rPr>
        <w:t>The purposes of t</w:t>
      </w:r>
      <w:r>
        <w:rPr>
          <w:rFonts w:eastAsia="Times New Roman"/>
        </w:rPr>
        <w:t xml:space="preserve">his act are to facilitate the enforcement of child support orders among the states; to discourage continuing interstate controversies over child support; and to avoid jurisdictional competition and conflict among state courts in the establishment of child </w:t>
      </w:r>
      <w:r>
        <w:rPr>
          <w:rFonts w:eastAsia="Times New Roman"/>
        </w:rPr>
        <w:t>support orders.</w:t>
      </w:r>
    </w:p>
    <w:p w:rsidR="00000000" w:rsidRDefault="001042B3">
      <w:pPr>
        <w:ind w:left="720"/>
        <w:divId w:val="846408658"/>
        <w:rPr>
          <w:rFonts w:eastAsia="Times New Roman"/>
        </w:rPr>
      </w:pPr>
      <w:r>
        <w:rPr>
          <w:rFonts w:eastAsia="Times New Roman"/>
        </w:rPr>
        <w:t>The "Personal Responsibility and Work Opportunity Reconciliation Act of 1996" made further amendments to Title IV-D,</w:t>
      </w:r>
      <w:hyperlink w:anchor="bottom" w:history="1">
        <w:r>
          <w:rPr>
            <w:rStyle w:val="Hyperlink"/>
            <w:rFonts w:eastAsia="Times New Roman"/>
          </w:rPr>
          <w:t>13</w:t>
        </w:r>
      </w:hyperlink>
      <w:r>
        <w:rPr>
          <w:rFonts w:eastAsia="Times New Roman"/>
        </w:rPr>
        <w:t xml:space="preserve"> which will have effects into the next century. For a state to remain eligible for the federa</w:t>
      </w:r>
      <w:r>
        <w:rPr>
          <w:rFonts w:eastAsia="Times New Roman"/>
        </w:rPr>
        <w:t>l funding of child support enforcement, it must have had in effect by Jan. 1 the Uniform Interstate Family Support Act. Congress also amended the "Full Faith and Credit for Child Support Orders Act" and amended Title IV-D to require states to adopt expedit</w:t>
      </w:r>
      <w:r>
        <w:rPr>
          <w:rFonts w:eastAsia="Times New Roman"/>
        </w:rPr>
        <w:t>ed administrative and judicial procedures for establishing paternity and for establishing, modifying and enforcing support obligations.</w:t>
      </w:r>
    </w:p>
    <w:p w:rsidR="00000000" w:rsidRDefault="001042B3">
      <w:pPr>
        <w:ind w:left="720"/>
        <w:divId w:val="846408658"/>
        <w:rPr>
          <w:rFonts w:eastAsia="Times New Roman"/>
        </w:rPr>
      </w:pPr>
      <w:r>
        <w:rPr>
          <w:rFonts w:eastAsia="Times New Roman"/>
        </w:rPr>
        <w:t>These expedited procedures must include methods under which statewide jurisdiction is exercised over the parties in chil</w:t>
      </w:r>
      <w:r>
        <w:rPr>
          <w:rFonts w:eastAsia="Times New Roman"/>
        </w:rPr>
        <w:t>d support cases. States must also adopt procedures under which, at least every three years, the state must, with respect to a support order being enforced, review and, if appropriate, adjust it in accordance with the child support guidelines; apply a cost-</w:t>
      </w:r>
      <w:r>
        <w:rPr>
          <w:rFonts w:eastAsia="Times New Roman"/>
        </w:rPr>
        <w:t>of-living adjustment to the order; or use automated methods to review and adjust the orders.</w:t>
      </w:r>
    </w:p>
    <w:p w:rsidR="00000000" w:rsidRDefault="001042B3">
      <w:pPr>
        <w:pStyle w:val="NormalWeb"/>
        <w:divId w:val="846408658"/>
        <w:rPr>
          <w:b/>
          <w:bCs/>
        </w:rPr>
      </w:pPr>
      <w:r>
        <w:rPr>
          <w:b/>
          <w:bCs/>
        </w:rPr>
        <w:t>Custody Revisions</w:t>
      </w:r>
    </w:p>
    <w:p w:rsidR="00000000" w:rsidRDefault="001042B3">
      <w:pPr>
        <w:ind w:left="720"/>
        <w:divId w:val="846408658"/>
        <w:rPr>
          <w:rFonts w:eastAsia="Times New Roman"/>
        </w:rPr>
      </w:pPr>
      <w:r>
        <w:rPr>
          <w:rFonts w:eastAsia="Times New Roman"/>
        </w:rPr>
        <w:lastRenderedPageBreak/>
        <w:t>"Federalization" has not been limited to child support laws. It has been extended into the custody area as well. The "Parental Kidnapping Prevent</w:t>
      </w:r>
      <w:r>
        <w:rPr>
          <w:rFonts w:eastAsia="Times New Roman"/>
        </w:rPr>
        <w:t>ion Act of 1980"</w:t>
      </w:r>
      <w:hyperlink w:anchor="bottom" w:history="1">
        <w:r>
          <w:rPr>
            <w:rStyle w:val="Hyperlink"/>
            <w:rFonts w:eastAsia="Times New Roman"/>
          </w:rPr>
          <w:t>14</w:t>
        </w:r>
      </w:hyperlink>
      <w:r>
        <w:rPr>
          <w:rFonts w:eastAsia="Times New Roman"/>
        </w:rPr>
        <w:t xml:space="preserve"> has in large measure preempted state law as to child custody jurisdiction.</w:t>
      </w:r>
      <w:hyperlink w:anchor="bottom" w:history="1">
        <w:r>
          <w:rPr>
            <w:rStyle w:val="Hyperlink"/>
            <w:rFonts w:eastAsia="Times New Roman"/>
          </w:rPr>
          <w:t>15</w:t>
        </w:r>
      </w:hyperlink>
      <w:r>
        <w:rPr>
          <w:rFonts w:eastAsia="Times New Roman"/>
        </w:rPr>
        <w:t xml:space="preserve"> It established the applicable rules for full </w:t>
      </w:r>
      <w:r>
        <w:rPr>
          <w:rFonts w:eastAsia="Times New Roman"/>
        </w:rPr>
        <w:t>faith and credit purposes insofar as interstate recognition, enforcement and modification of child custody decrees are concerned. Because of the Supremacy Clause of the federal Constitution, the Parental Kidnapping Protection Act controls and supersedes an</w:t>
      </w:r>
      <w:r>
        <w:rPr>
          <w:rFonts w:eastAsia="Times New Roman"/>
        </w:rPr>
        <w:t>y inconsistent state law, including the Uniform Child Custody Jurisdiction Act, which is in effect, with slight variations, in all 50 states.</w:t>
      </w:r>
    </w:p>
    <w:p w:rsidR="00000000" w:rsidRDefault="001042B3">
      <w:pPr>
        <w:ind w:left="720"/>
        <w:divId w:val="846408658"/>
        <w:rPr>
          <w:rFonts w:eastAsia="Times New Roman"/>
        </w:rPr>
      </w:pPr>
      <w:r>
        <w:rPr>
          <w:rFonts w:eastAsia="Times New Roman"/>
        </w:rPr>
        <w:t>The Hague Convention on the Civil Aspects of International Child Abduction was ratified by Congress on July 1, 198</w:t>
      </w:r>
      <w:r>
        <w:rPr>
          <w:rFonts w:eastAsia="Times New Roman"/>
        </w:rPr>
        <w:t>8. Its objective is to deter international child abduction and to provide a mechanism for the prompt return of abducted children to their home country where the tribunals there can resolve the custody issues on the merits.</w:t>
      </w:r>
    </w:p>
    <w:p w:rsidR="00000000" w:rsidRDefault="001042B3">
      <w:pPr>
        <w:ind w:left="720"/>
        <w:divId w:val="846408658"/>
        <w:rPr>
          <w:rFonts w:eastAsia="Times New Roman"/>
        </w:rPr>
      </w:pPr>
      <w:r>
        <w:rPr>
          <w:rFonts w:eastAsia="Times New Roman"/>
        </w:rPr>
        <w:t>The "International Child Abductio</w:t>
      </w:r>
      <w:r>
        <w:rPr>
          <w:rFonts w:eastAsia="Times New Roman"/>
        </w:rPr>
        <w:t>n Remedies Act," whose provisions are additional to those of the treaty, also took effect on July 1, 1988. Its purpose was to establish procedures for implementing the treaty in the United States and to empower courts in the United States to determine only</w:t>
      </w:r>
      <w:r>
        <w:rPr>
          <w:rFonts w:eastAsia="Times New Roman"/>
        </w:rPr>
        <w:t xml:space="preserve"> rights under the convention and not the merits of any underlying custody dispute.</w:t>
      </w:r>
      <w:hyperlink w:anchor="bottom" w:history="1">
        <w:r>
          <w:rPr>
            <w:rStyle w:val="Hyperlink"/>
            <w:rFonts w:eastAsia="Times New Roman"/>
          </w:rPr>
          <w:t>16</w:t>
        </w:r>
      </w:hyperlink>
      <w:r>
        <w:rPr>
          <w:rFonts w:eastAsia="Times New Roman"/>
        </w:rPr>
        <w:t xml:space="preserve"> The act</w:t>
      </w:r>
      <w:hyperlink w:anchor="bottom" w:history="1">
        <w:r>
          <w:rPr>
            <w:rStyle w:val="Hyperlink"/>
            <w:rFonts w:eastAsia="Times New Roman"/>
          </w:rPr>
          <w:t>17</w:t>
        </w:r>
      </w:hyperlink>
      <w:r>
        <w:rPr>
          <w:rFonts w:eastAsia="Times New Roman"/>
        </w:rPr>
        <w:t xml:space="preserve"> grants concurrent jurisdiction to federal and state courts to enforce the Convention.</w:t>
      </w:r>
    </w:p>
    <w:p w:rsidR="00000000" w:rsidRDefault="001042B3">
      <w:pPr>
        <w:ind w:left="720"/>
        <w:divId w:val="846408658"/>
        <w:rPr>
          <w:rFonts w:eastAsia="Times New Roman"/>
        </w:rPr>
      </w:pPr>
      <w:r>
        <w:rPr>
          <w:rFonts w:eastAsia="Times New Roman"/>
        </w:rPr>
        <w:t>The federal "Inte</w:t>
      </w:r>
      <w:r>
        <w:rPr>
          <w:rFonts w:eastAsia="Times New Roman"/>
        </w:rPr>
        <w:t>rnational Parental Kidnapping Prevention Act," which provides criminal penalties for unlawfully obstructing parental rights outside of the United States, was enacted in December 1993.</w:t>
      </w:r>
      <w:hyperlink w:anchor="bottom" w:history="1">
        <w:r>
          <w:rPr>
            <w:rStyle w:val="Hyperlink"/>
            <w:rFonts w:eastAsia="Times New Roman"/>
          </w:rPr>
          <w:t>18</w:t>
        </w:r>
      </w:hyperlink>
      <w:r>
        <w:rPr>
          <w:rFonts w:eastAsia="Times New Roman"/>
        </w:rPr>
        <w:t xml:space="preserve"> It, too, is in addition to The Hague Conv</w:t>
      </w:r>
      <w:r>
        <w:rPr>
          <w:rFonts w:eastAsia="Times New Roman"/>
        </w:rPr>
        <w:t>ention and specifically provides that it shall not detract from it.</w:t>
      </w:r>
      <w:hyperlink w:anchor="bottom" w:history="1">
        <w:r>
          <w:rPr>
            <w:rStyle w:val="Hyperlink"/>
            <w:rFonts w:eastAsia="Times New Roman"/>
          </w:rPr>
          <w:t>19</w:t>
        </w:r>
      </w:hyperlink>
    </w:p>
    <w:p w:rsidR="00000000" w:rsidRDefault="001042B3">
      <w:pPr>
        <w:ind w:left="720"/>
        <w:divId w:val="846408658"/>
        <w:rPr>
          <w:rFonts w:eastAsia="Times New Roman"/>
        </w:rPr>
      </w:pPr>
      <w:r>
        <w:rPr>
          <w:rFonts w:eastAsia="Times New Roman"/>
        </w:rPr>
        <w:t>In the last few years the reach of "federalization" has extended into other areas of family law. For example, in 1994 Congress enacted "</w:t>
      </w:r>
      <w:r>
        <w:rPr>
          <w:rFonts w:eastAsia="Times New Roman"/>
        </w:rPr>
        <w:t>The Full Faith and Credit To Protection Orders Act," which requires that any protection order issued by the court of one state or Indian tribe, which is consistent with the act, must be accorded full faith and credit by the court of another state or Indian</w:t>
      </w:r>
      <w:r>
        <w:rPr>
          <w:rFonts w:eastAsia="Times New Roman"/>
        </w:rPr>
        <w:t xml:space="preserve"> tribe and enforced as if it were the order of the enforcing state or tribe.</w:t>
      </w:r>
      <w:hyperlink w:anchor="bottom" w:history="1">
        <w:r>
          <w:rPr>
            <w:rStyle w:val="Hyperlink"/>
            <w:rFonts w:eastAsia="Times New Roman"/>
          </w:rPr>
          <w:t>20</w:t>
        </w:r>
      </w:hyperlink>
    </w:p>
    <w:p w:rsidR="00000000" w:rsidRDefault="001042B3">
      <w:pPr>
        <w:ind w:left="720"/>
        <w:divId w:val="846408658"/>
        <w:rPr>
          <w:rFonts w:eastAsia="Times New Roman"/>
        </w:rPr>
      </w:pPr>
      <w:r>
        <w:rPr>
          <w:rFonts w:eastAsia="Times New Roman"/>
        </w:rPr>
        <w:t>In 1996 Congress attempted to prohibit same-sex marriages by enacting the "Defense of Marriage Act." It provides that no state is required to give e</w:t>
      </w:r>
      <w:r>
        <w:rPr>
          <w:rFonts w:eastAsia="Times New Roman"/>
        </w:rPr>
        <w:t>ffect to any public act, record or judicial proceeding of any other state respecting a relationship between persons of the same sex that is treated as a marriage under the laws of such other state, or a right or claim arising from such relationship.</w:t>
      </w:r>
      <w:hyperlink w:anchor="bottom" w:history="1">
        <w:r>
          <w:rPr>
            <w:rStyle w:val="Hyperlink"/>
            <w:rFonts w:eastAsia="Times New Roman"/>
          </w:rPr>
          <w:t>21</w:t>
        </w:r>
      </w:hyperlink>
    </w:p>
    <w:p w:rsidR="00000000" w:rsidRDefault="001042B3">
      <w:pPr>
        <w:pStyle w:val="NormalWeb"/>
        <w:divId w:val="846408658"/>
        <w:rPr>
          <w:b/>
          <w:bCs/>
        </w:rPr>
      </w:pPr>
      <w:r>
        <w:rPr>
          <w:b/>
          <w:bCs/>
        </w:rPr>
        <w:t>An Intrusion?</w:t>
      </w:r>
    </w:p>
    <w:p w:rsidR="00000000" w:rsidRDefault="001042B3">
      <w:pPr>
        <w:ind w:left="720"/>
        <w:divId w:val="846408658"/>
        <w:rPr>
          <w:rFonts w:eastAsia="Times New Roman"/>
        </w:rPr>
      </w:pPr>
      <w:r>
        <w:rPr>
          <w:rFonts w:eastAsia="Times New Roman"/>
        </w:rPr>
        <w:t>We believe that the flurry of federal legislation in the past few years is only the beginning of federal intrusion into family law matters. Although much of this legislation has been enacted in an attempt to enforce c</w:t>
      </w:r>
      <w:r>
        <w:rPr>
          <w:rFonts w:eastAsia="Times New Roman"/>
        </w:rPr>
        <w:t xml:space="preserve">hild </w:t>
      </w:r>
      <w:r>
        <w:rPr>
          <w:rFonts w:eastAsia="Times New Roman"/>
        </w:rPr>
        <w:lastRenderedPageBreak/>
        <w:t>support obligations we are concerned that future legislation may be politically motivated and may unjustifiably erode individual rights and liberties. We must not allow this to happen.</w:t>
      </w:r>
    </w:p>
    <w:p w:rsidR="00000000" w:rsidRDefault="001042B3">
      <w:pPr>
        <w:pStyle w:val="NormalWeb"/>
        <w:jc w:val="center"/>
        <w:divId w:val="846408658"/>
      </w:pPr>
      <w:r>
        <w:t>---------------------</w:t>
      </w:r>
      <w:r>
        <w:t>-</w:t>
      </w:r>
    </w:p>
    <w:p w:rsidR="00000000" w:rsidRDefault="001042B3">
      <w:pPr>
        <w:pStyle w:val="NormalWeb"/>
        <w:jc w:val="center"/>
        <w:divId w:val="846408658"/>
      </w:pPr>
      <w:r>
        <w:t>Note</w:t>
      </w:r>
      <w:r>
        <w:t>s</w:t>
      </w:r>
    </w:p>
    <w:p w:rsidR="00000000" w:rsidRDefault="001042B3">
      <w:pPr>
        <w:ind w:left="720"/>
        <w:divId w:val="846408658"/>
        <w:rPr>
          <w:rFonts w:eastAsia="Times New Roman"/>
        </w:rPr>
      </w:pPr>
      <w:bookmarkStart w:id="1" w:name="bottom"/>
      <w:bookmarkEnd w:id="1"/>
      <w:r>
        <w:rPr>
          <w:rFonts w:eastAsia="Times New Roman"/>
          <w:sz w:val="20"/>
          <w:szCs w:val="20"/>
        </w:rPr>
        <w:t>(1) Laws of 1989, ch 567, §§1 and 2.</w:t>
      </w:r>
    </w:p>
    <w:p w:rsidR="00000000" w:rsidRDefault="001042B3">
      <w:pPr>
        <w:ind w:left="720"/>
        <w:divId w:val="846408658"/>
        <w:rPr>
          <w:rFonts w:eastAsia="Times New Roman"/>
        </w:rPr>
      </w:pPr>
      <w:r>
        <w:rPr>
          <w:rFonts w:eastAsia="Times New Roman"/>
          <w:sz w:val="20"/>
          <w:szCs w:val="20"/>
        </w:rPr>
        <w:t xml:space="preserve">(2) See for example </w:t>
      </w:r>
      <w:r>
        <w:rPr>
          <w:rFonts w:eastAsia="Times New Roman"/>
          <w:i/>
          <w:iCs/>
          <w:sz w:val="20"/>
          <w:szCs w:val="20"/>
        </w:rPr>
        <w:t xml:space="preserve">Cassano v. Cassano, </w:t>
      </w:r>
      <w:r>
        <w:rPr>
          <w:rFonts w:eastAsia="Times New Roman"/>
          <w:sz w:val="20"/>
          <w:szCs w:val="20"/>
        </w:rPr>
        <w:t xml:space="preserve">85 NY2d 645 and </w:t>
      </w:r>
      <w:r>
        <w:rPr>
          <w:rFonts w:eastAsia="Times New Roman"/>
          <w:i/>
          <w:iCs/>
          <w:sz w:val="20"/>
          <w:szCs w:val="20"/>
        </w:rPr>
        <w:t xml:space="preserve">Graby v. Graby, </w:t>
      </w:r>
      <w:r>
        <w:rPr>
          <w:rFonts w:eastAsia="Times New Roman"/>
          <w:sz w:val="20"/>
          <w:szCs w:val="20"/>
        </w:rPr>
        <w:t>87 NY2d 605.</w:t>
      </w:r>
    </w:p>
    <w:p w:rsidR="00000000" w:rsidRDefault="001042B3">
      <w:pPr>
        <w:ind w:left="720"/>
        <w:divId w:val="846408658"/>
        <w:rPr>
          <w:rFonts w:eastAsia="Times New Roman"/>
        </w:rPr>
      </w:pPr>
      <w:r>
        <w:rPr>
          <w:rFonts w:eastAsia="Times New Roman"/>
          <w:sz w:val="20"/>
          <w:szCs w:val="20"/>
        </w:rPr>
        <w:t xml:space="preserve">(3) See, for example </w:t>
      </w:r>
      <w:r>
        <w:rPr>
          <w:rFonts w:eastAsia="Times New Roman"/>
          <w:i/>
          <w:iCs/>
          <w:sz w:val="20"/>
          <w:szCs w:val="20"/>
        </w:rPr>
        <w:t xml:space="preserve">Tropea v. Tropea, </w:t>
      </w:r>
      <w:r>
        <w:rPr>
          <w:rFonts w:eastAsia="Times New Roman"/>
          <w:sz w:val="20"/>
          <w:szCs w:val="20"/>
        </w:rPr>
        <w:t xml:space="preserve">87 NY2d 727 (1996); </w:t>
      </w:r>
      <w:r>
        <w:rPr>
          <w:rFonts w:eastAsia="Times New Roman"/>
          <w:i/>
          <w:iCs/>
          <w:sz w:val="20"/>
          <w:szCs w:val="20"/>
        </w:rPr>
        <w:t xml:space="preserve">Friederwitzer v. Freiderwitzer </w:t>
      </w:r>
      <w:r>
        <w:rPr>
          <w:rFonts w:eastAsia="Times New Roman"/>
          <w:sz w:val="20"/>
          <w:szCs w:val="20"/>
        </w:rPr>
        <w:t xml:space="preserve">(1982). 55 NY2d 89 and </w:t>
      </w:r>
      <w:r>
        <w:rPr>
          <w:rFonts w:eastAsia="Times New Roman"/>
          <w:i/>
          <w:iCs/>
          <w:sz w:val="20"/>
          <w:szCs w:val="20"/>
        </w:rPr>
        <w:t xml:space="preserve">Esbach v. Esbach </w:t>
      </w:r>
      <w:r>
        <w:rPr>
          <w:rFonts w:eastAsia="Times New Roman"/>
          <w:sz w:val="20"/>
          <w:szCs w:val="20"/>
        </w:rPr>
        <w:t>(1983). 56 NY2d 167.</w:t>
      </w:r>
    </w:p>
    <w:p w:rsidR="00000000" w:rsidRDefault="001042B3">
      <w:pPr>
        <w:ind w:left="720"/>
        <w:divId w:val="846408658"/>
        <w:rPr>
          <w:rFonts w:eastAsia="Times New Roman"/>
        </w:rPr>
      </w:pPr>
      <w:r>
        <w:rPr>
          <w:rFonts w:eastAsia="Times New Roman"/>
          <w:sz w:val="20"/>
          <w:szCs w:val="20"/>
        </w:rPr>
        <w:t>(4) Pub.L. No.93-647</w:t>
      </w:r>
      <w:r>
        <w:rPr>
          <w:rFonts w:eastAsia="Times New Roman"/>
          <w:sz w:val="20"/>
          <w:szCs w:val="20"/>
        </w:rPr>
        <w:t>, 88 stat 2337(1975). (codified at 42 USC §§661-669).</w:t>
      </w:r>
    </w:p>
    <w:p w:rsidR="00000000" w:rsidRDefault="001042B3">
      <w:pPr>
        <w:ind w:left="720"/>
        <w:divId w:val="846408658"/>
        <w:rPr>
          <w:rFonts w:eastAsia="Times New Roman"/>
        </w:rPr>
      </w:pPr>
      <w:r>
        <w:rPr>
          <w:rFonts w:eastAsia="Times New Roman"/>
          <w:sz w:val="20"/>
          <w:szCs w:val="20"/>
        </w:rPr>
        <w:t>(5) Pub.L.No. 98-378, 98 Stat 1305 (1984).</w:t>
      </w:r>
    </w:p>
    <w:p w:rsidR="00000000" w:rsidRDefault="001042B3">
      <w:pPr>
        <w:ind w:left="720"/>
        <w:divId w:val="846408658"/>
        <w:rPr>
          <w:rFonts w:eastAsia="Times New Roman"/>
        </w:rPr>
      </w:pPr>
      <w:r>
        <w:rPr>
          <w:rFonts w:eastAsia="Times New Roman"/>
          <w:sz w:val="20"/>
          <w:szCs w:val="20"/>
        </w:rPr>
        <w:t>(6) 42 USC §666(a)(9).</w:t>
      </w:r>
    </w:p>
    <w:p w:rsidR="00000000" w:rsidRDefault="001042B3">
      <w:pPr>
        <w:ind w:left="720"/>
        <w:divId w:val="846408658"/>
        <w:rPr>
          <w:rFonts w:eastAsia="Times New Roman"/>
        </w:rPr>
      </w:pPr>
      <w:r>
        <w:rPr>
          <w:rFonts w:eastAsia="Times New Roman"/>
          <w:sz w:val="20"/>
          <w:szCs w:val="20"/>
        </w:rPr>
        <w:t>(7) Laws of 1986, Ch 892, §1, effective Aug. 5, 1986.</w:t>
      </w:r>
    </w:p>
    <w:p w:rsidR="00000000" w:rsidRDefault="001042B3">
      <w:pPr>
        <w:ind w:left="720"/>
        <w:divId w:val="846408658"/>
        <w:rPr>
          <w:rFonts w:eastAsia="Times New Roman"/>
        </w:rPr>
      </w:pPr>
      <w:r>
        <w:rPr>
          <w:rFonts w:eastAsia="Times New Roman"/>
          <w:sz w:val="20"/>
          <w:szCs w:val="20"/>
        </w:rPr>
        <w:t xml:space="preserve">(8) With regard to "arrears of any other payments," the court must enter judgment </w:t>
      </w:r>
      <w:r>
        <w:rPr>
          <w:rFonts w:eastAsia="Times New Roman"/>
          <w:sz w:val="20"/>
          <w:szCs w:val="20"/>
        </w:rPr>
        <w:t>for the full amount unless the defaulting spouse shows good cause for failing to request relief before the arrears accumulated.</w:t>
      </w:r>
    </w:p>
    <w:p w:rsidR="00000000" w:rsidRDefault="001042B3">
      <w:pPr>
        <w:ind w:left="720"/>
        <w:divId w:val="846408658"/>
        <w:rPr>
          <w:rFonts w:eastAsia="Times New Roman"/>
        </w:rPr>
      </w:pPr>
      <w:r>
        <w:rPr>
          <w:rFonts w:eastAsia="Times New Roman"/>
          <w:sz w:val="20"/>
          <w:szCs w:val="20"/>
        </w:rPr>
        <w:t>(9) Pub.L. 100-485, 1988 USCCAN (102 stat). 2343.</w:t>
      </w:r>
    </w:p>
    <w:p w:rsidR="00000000" w:rsidRDefault="001042B3">
      <w:pPr>
        <w:ind w:left="720"/>
        <w:divId w:val="846408658"/>
        <w:rPr>
          <w:rFonts w:eastAsia="Times New Roman"/>
        </w:rPr>
      </w:pPr>
      <w:r>
        <w:rPr>
          <w:rFonts w:eastAsia="Times New Roman"/>
          <w:sz w:val="20"/>
          <w:szCs w:val="20"/>
        </w:rPr>
        <w:t>(10) Laws of 1989, Ch 567, §§1,2. codified at DRL §240(1-b). and FCA §413 (1)(</w:t>
      </w:r>
      <w:r>
        <w:rPr>
          <w:rFonts w:eastAsia="Times New Roman"/>
          <w:sz w:val="20"/>
          <w:szCs w:val="20"/>
        </w:rPr>
        <w:t>b).</w:t>
      </w:r>
    </w:p>
    <w:p w:rsidR="00000000" w:rsidRDefault="001042B3">
      <w:pPr>
        <w:ind w:left="720"/>
        <w:divId w:val="846408658"/>
        <w:rPr>
          <w:rFonts w:eastAsia="Times New Roman"/>
        </w:rPr>
      </w:pPr>
      <w:r>
        <w:rPr>
          <w:rFonts w:eastAsia="Times New Roman"/>
          <w:sz w:val="20"/>
          <w:szCs w:val="20"/>
        </w:rPr>
        <w:t>(11) Added Oct. 25, 1992, P. L. 102-521, 2(a), 106 Stat.3403. Amended Oct. 11, 1996, P. L. 104-294, Title VI, 607(l), 110 Stat. 3512.</w:t>
      </w:r>
    </w:p>
    <w:p w:rsidR="00000000" w:rsidRDefault="001042B3">
      <w:pPr>
        <w:ind w:left="720"/>
        <w:divId w:val="846408658"/>
        <w:rPr>
          <w:rFonts w:eastAsia="Times New Roman"/>
        </w:rPr>
      </w:pPr>
      <w:r>
        <w:rPr>
          <w:rFonts w:eastAsia="Times New Roman"/>
          <w:sz w:val="20"/>
          <w:szCs w:val="20"/>
        </w:rPr>
        <w:t>(12) Added Oct. 20, 1994, P. L. 103-383, 3(a), 108 Stat. 4064; Aug. 22, 1996, P. L. 104-193, Title III, Subtitle C, 32</w:t>
      </w:r>
      <w:r>
        <w:rPr>
          <w:rFonts w:eastAsia="Times New Roman"/>
          <w:sz w:val="20"/>
          <w:szCs w:val="20"/>
        </w:rPr>
        <w:t>2, 110 Stat. 2221.</w:t>
      </w:r>
    </w:p>
    <w:p w:rsidR="00000000" w:rsidRDefault="001042B3">
      <w:pPr>
        <w:ind w:left="720"/>
        <w:divId w:val="846408658"/>
        <w:rPr>
          <w:rFonts w:eastAsia="Times New Roman"/>
        </w:rPr>
      </w:pPr>
      <w:r>
        <w:rPr>
          <w:rFonts w:eastAsia="Times New Roman"/>
          <w:sz w:val="20"/>
          <w:szCs w:val="20"/>
        </w:rPr>
        <w:t>(13) P.L. 104-193, s 321, 110 Stat. 2221.</w:t>
      </w:r>
    </w:p>
    <w:p w:rsidR="00000000" w:rsidRDefault="001042B3">
      <w:pPr>
        <w:ind w:left="720"/>
        <w:divId w:val="846408658"/>
        <w:rPr>
          <w:rFonts w:eastAsia="Times New Roman"/>
        </w:rPr>
      </w:pPr>
      <w:r>
        <w:rPr>
          <w:rFonts w:eastAsia="Times New Roman"/>
          <w:sz w:val="20"/>
          <w:szCs w:val="20"/>
        </w:rPr>
        <w:t>(14) Added Dec. 28, 1980, P.L. 96-611, §8(a), 94 Stat. 3569. Codified at 28 USC 1738A.</w:t>
      </w:r>
    </w:p>
    <w:p w:rsidR="00000000" w:rsidRDefault="001042B3">
      <w:pPr>
        <w:ind w:left="720"/>
        <w:divId w:val="846408658"/>
        <w:rPr>
          <w:rFonts w:eastAsia="Times New Roman"/>
        </w:rPr>
      </w:pPr>
      <w:r>
        <w:rPr>
          <w:rFonts w:eastAsia="Times New Roman"/>
          <w:sz w:val="20"/>
          <w:szCs w:val="20"/>
        </w:rPr>
        <w:t xml:space="preserve">(15) </w:t>
      </w:r>
      <w:r>
        <w:rPr>
          <w:rFonts w:eastAsia="Times New Roman"/>
          <w:i/>
          <w:iCs/>
          <w:sz w:val="20"/>
          <w:szCs w:val="20"/>
        </w:rPr>
        <w:t xml:space="preserve">Enslein v. Enslein </w:t>
      </w:r>
      <w:r>
        <w:rPr>
          <w:rFonts w:eastAsia="Times New Roman"/>
          <w:sz w:val="20"/>
          <w:szCs w:val="20"/>
        </w:rPr>
        <w:t>(1985, 2d Dept). 112 AppDiv2d 973.</w:t>
      </w:r>
    </w:p>
    <w:p w:rsidR="00000000" w:rsidRDefault="001042B3">
      <w:pPr>
        <w:ind w:left="720"/>
        <w:divId w:val="846408658"/>
        <w:rPr>
          <w:rFonts w:eastAsia="Times New Roman"/>
        </w:rPr>
      </w:pPr>
      <w:r>
        <w:rPr>
          <w:rFonts w:eastAsia="Times New Roman"/>
          <w:sz w:val="20"/>
          <w:szCs w:val="20"/>
        </w:rPr>
        <w:t>(16) Pub L. No.100-300,102 Stat.437-442; codified</w:t>
      </w:r>
      <w:r>
        <w:rPr>
          <w:rFonts w:eastAsia="Times New Roman"/>
          <w:sz w:val="20"/>
          <w:szCs w:val="20"/>
        </w:rPr>
        <w:t xml:space="preserve"> as amended at 42 USC §§11601-10; See 42 USC §11601 (b). for the congressional intent.</w:t>
      </w:r>
    </w:p>
    <w:p w:rsidR="00000000" w:rsidRDefault="001042B3">
      <w:pPr>
        <w:ind w:left="720"/>
        <w:divId w:val="846408658"/>
        <w:rPr>
          <w:rFonts w:eastAsia="Times New Roman"/>
        </w:rPr>
      </w:pPr>
      <w:r>
        <w:rPr>
          <w:rFonts w:eastAsia="Times New Roman"/>
          <w:sz w:val="20"/>
          <w:szCs w:val="20"/>
        </w:rPr>
        <w:t>(17) See 42 USC §11606.</w:t>
      </w:r>
    </w:p>
    <w:p w:rsidR="00000000" w:rsidRDefault="001042B3">
      <w:pPr>
        <w:ind w:left="720"/>
        <w:divId w:val="846408658"/>
        <w:rPr>
          <w:rFonts w:eastAsia="Times New Roman"/>
        </w:rPr>
      </w:pPr>
      <w:r>
        <w:rPr>
          <w:rFonts w:eastAsia="Times New Roman"/>
          <w:sz w:val="20"/>
          <w:szCs w:val="20"/>
        </w:rPr>
        <w:t>(18) Added Dec. 2, 1993, P. L. 103-173, 2(a), 107 Stat. 1998. Codified at 18 USC §1204.</w:t>
      </w:r>
    </w:p>
    <w:p w:rsidR="00000000" w:rsidRDefault="001042B3">
      <w:pPr>
        <w:ind w:left="720"/>
        <w:divId w:val="846408658"/>
        <w:rPr>
          <w:rFonts w:eastAsia="Times New Roman"/>
        </w:rPr>
      </w:pPr>
      <w:r>
        <w:rPr>
          <w:rFonts w:eastAsia="Times New Roman"/>
          <w:sz w:val="20"/>
          <w:szCs w:val="20"/>
        </w:rPr>
        <w:t>(19) 18 USC §1204 (d).</w:t>
      </w:r>
    </w:p>
    <w:p w:rsidR="00000000" w:rsidRDefault="001042B3">
      <w:pPr>
        <w:ind w:left="720"/>
        <w:divId w:val="846408658"/>
        <w:rPr>
          <w:rFonts w:eastAsia="Times New Roman"/>
        </w:rPr>
      </w:pPr>
      <w:r>
        <w:rPr>
          <w:rFonts w:eastAsia="Times New Roman"/>
          <w:sz w:val="20"/>
          <w:szCs w:val="20"/>
        </w:rPr>
        <w:t>(20) Added Sept. 13, 1994, P. L. 103-322, Title IV, Subtitle B, Ch 2, 40221(a), 108 Stat. 1930. Codified at 18 USC §2261.</w:t>
      </w:r>
    </w:p>
    <w:p w:rsidR="00000000" w:rsidRDefault="001042B3">
      <w:pPr>
        <w:ind w:left="720"/>
        <w:divId w:val="846408658"/>
        <w:rPr>
          <w:rFonts w:eastAsia="Times New Roman"/>
        </w:rPr>
      </w:pPr>
      <w:r>
        <w:rPr>
          <w:rFonts w:eastAsia="Times New Roman"/>
          <w:sz w:val="20"/>
          <w:szCs w:val="20"/>
        </w:rPr>
        <w:t>(21) Added Sept. 21, 1996, P. L. 104-199, 2(a), 110 Stat. 2419. Codified at 28 USC §1738C.</w:t>
      </w:r>
      <w:r>
        <w:rPr>
          <w:rFonts w:eastAsia="Times New Roman"/>
        </w:rPr>
        <w:t xml:space="preserve"> </w:t>
      </w:r>
    </w:p>
    <w:p w:rsidR="00000000" w:rsidRDefault="001042B3">
      <w:pPr>
        <w:ind w:left="720"/>
        <w:divId w:val="846408658"/>
        <w:rPr>
          <w:rFonts w:eastAsia="Times New Roman"/>
        </w:rPr>
      </w:pPr>
      <w:r>
        <w:rPr>
          <w:rFonts w:eastAsia="Times New Roman"/>
        </w:rPr>
        <w:t>*********</w:t>
      </w:r>
    </w:p>
    <w:p w:rsidR="00000000" w:rsidRDefault="001042B3">
      <w:pPr>
        <w:divId w:val="846408658"/>
        <w:rPr>
          <w:rFonts w:eastAsia="Times New Roman"/>
        </w:rPr>
      </w:pPr>
      <w:r>
        <w:rPr>
          <w:rFonts w:eastAsia="Times New Roman"/>
        </w:rPr>
        <w:pict>
          <v:rect id="_x0000_i1025" style="width:0;height:1.5pt" o:hralign="center" o:hrstd="t" o:hr="t" fillcolor="#a0a0a0" stroked="f"/>
        </w:pict>
      </w:r>
    </w:p>
    <w:p w:rsidR="00000000" w:rsidRDefault="001042B3">
      <w:pPr>
        <w:pStyle w:val="NormalWeb"/>
        <w:divId w:val="846408658"/>
        <w:rPr>
          <w:i/>
          <w:iCs/>
        </w:rPr>
      </w:pPr>
      <w:r>
        <w:rPr>
          <w:b/>
          <w:bCs/>
        </w:rPr>
        <w:t>Joel R. Brandes</w:t>
      </w:r>
      <w:r>
        <w:rPr>
          <w:b/>
          <w:bCs/>
        </w:rPr>
        <w:t xml:space="preserve"> </w:t>
      </w:r>
      <w:r>
        <w:rPr>
          <w:i/>
          <w:iCs/>
        </w:rPr>
        <w:t xml:space="preserve">has law offices in Garden City and New York City. He co-authored the nine-volume </w:t>
      </w:r>
      <w:r>
        <w:t xml:space="preserve">Law and the Family New York </w:t>
      </w:r>
      <w:r>
        <w:rPr>
          <w:i/>
          <w:iCs/>
        </w:rPr>
        <w:t xml:space="preserve">and </w:t>
      </w:r>
      <w:r>
        <w:t xml:space="preserve">Law and the Family New York Forms </w:t>
      </w:r>
      <w:r>
        <w:rPr>
          <w:i/>
          <w:iCs/>
        </w:rPr>
        <w:t>(both, published by Westgroup)</w:t>
      </w:r>
      <w:r>
        <w:rPr>
          <w:i/>
          <w:iCs/>
        </w:rPr>
        <w:t>.</w:t>
      </w:r>
    </w:p>
    <w:p w:rsidR="00000000" w:rsidRDefault="001042B3">
      <w:pPr>
        <w:rPr>
          <w:rFonts w:eastAsia="Times New Roman"/>
        </w:rPr>
      </w:pPr>
      <w:r>
        <w:rPr>
          <w:rFonts w:eastAsia="Times New Roman"/>
        </w:rPr>
        <w:pict>
          <v:rect id="_x0000_i1026" style="width:0;height:1.5pt" o:hrstd="t" o:hr="t" fillcolor="#a0a0a0" stroked="f"/>
        </w:pic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042B3"/>
    <w:rsid w:val="0010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0A91C4-1979-4D51-BD4B-632B7166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408658">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2093</Words>
  <Characters>11501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The Federalization of Child Support Issues. New York Divorce and Family Law, the definitive site about divorce, child support and custody.</vt:lpstr>
    </vt:vector>
  </TitlesOfParts>
  <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Federalization of Child Support Issues. New York Divorce and Family Law, the definitive site about divorce, child support and custody.</dc:title>
  <dc:subject/>
  <dc:creator>Joel Brandes</dc:creator>
  <cp:keywords/>
  <dc:description/>
  <cp:lastModifiedBy>Joel Brandes</cp:lastModifiedBy>
  <cp:revision>2</cp:revision>
  <dcterms:created xsi:type="dcterms:W3CDTF">2016-07-12T10:55:00Z</dcterms:created>
  <dcterms:modified xsi:type="dcterms:W3CDTF">2016-07-12T10:55:00Z</dcterms:modified>
</cp:coreProperties>
</file>