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E7E3E">
      <w:pPr>
        <w:pStyle w:val="NormalWeb"/>
        <w:divId w:val="1475096557"/>
      </w:pPr>
      <w:r>
        <w:t>LAW AND THE</w:t>
      </w:r>
      <w:bookmarkStart w:id="0" w:name="_GoBack"/>
      <w:bookmarkEnd w:id="0"/>
      <w:r>
        <w:t xml:space="preserve"> FAMILY</w:t>
      </w:r>
    </w:p>
    <w:p w:rsidR="00000000" w:rsidRDefault="002E7E3E">
      <w:pPr>
        <w:pStyle w:val="Heading2"/>
        <w:divId w:val="1475096557"/>
        <w:rPr>
          <w:rFonts w:eastAsia="Times New Roman"/>
        </w:rPr>
      </w:pPr>
      <w:r>
        <w:rPr>
          <w:rFonts w:eastAsia="Times New Roman"/>
        </w:rPr>
        <w:t>Termination of Child Support Agreements</w:t>
      </w:r>
    </w:p>
    <w:p w:rsidR="00000000" w:rsidRDefault="002E7E3E">
      <w:pPr>
        <w:pStyle w:val="NormalWeb"/>
        <w:divId w:val="1475096557"/>
      </w:pPr>
      <w:r>
        <w:t>Joel R. Brandes</w:t>
      </w:r>
    </w:p>
    <w:p w:rsidR="00000000" w:rsidRDefault="002E7E3E">
      <w:pPr>
        <w:pStyle w:val="NormalWeb"/>
        <w:divId w:val="1475096557"/>
      </w:pPr>
      <w:hyperlink r:id="rId4" w:history="1">
        <w:r>
          <w:rPr>
            <w:rStyle w:val="Hyperlink"/>
          </w:rPr>
          <w:t>New York Law Journal</w:t>
        </w:r>
      </w:hyperlink>
      <w:r>
        <w:br/>
        <w:t>June 23, 1998</w:t>
      </w:r>
    </w:p>
    <w:p w:rsidR="00000000" w:rsidRDefault="002E7E3E">
      <w:pPr>
        <w:pStyle w:val="NormalWeb"/>
        <w:divId w:val="1475096557"/>
      </w:pPr>
      <w:r>
        <w:rPr>
          <w:sz w:val="72"/>
          <w:szCs w:val="72"/>
        </w:rPr>
        <w:t>U</w:t>
      </w:r>
      <w:r>
        <w:t>NDER NEW YORK LAW,</w:t>
      </w:r>
      <w:hyperlink w:anchor="bottom" w:history="1">
        <w:r>
          <w:rPr>
            <w:rStyle w:val="Hyperlink"/>
          </w:rPr>
          <w:t>1</w:t>
        </w:r>
      </w:hyperlink>
      <w:r>
        <w:t xml:space="preserve"> </w:t>
      </w:r>
      <w:r>
        <w:t xml:space="preserve">child support is defined as a sum to be paid by either or both parents, pursuant to court order or agreement, for an unemancipated child </w:t>
      </w:r>
      <w:r>
        <w:rPr>
          <w:i/>
          <w:iCs/>
        </w:rPr>
        <w:t>under the age of 21</w:t>
      </w:r>
      <w:r>
        <w:t>. The parties may expand their obligations and agree that child support shall continue beyond the ag</w:t>
      </w:r>
      <w:r>
        <w:t>e of 21 </w:t>
      </w:r>
      <w:hyperlink w:anchor="bottom" w:history="1">
        <w:r>
          <w:rPr>
            <w:rStyle w:val="Hyperlink"/>
          </w:rPr>
          <w:t>2</w:t>
        </w:r>
      </w:hyperlink>
      <w:r>
        <w:t xml:space="preserve"> or that support obligations survive the death of either of them.</w:t>
      </w:r>
      <w:hyperlink w:anchor="bottom" w:history="1">
        <w:r>
          <w:rPr>
            <w:rStyle w:val="Hyperlink"/>
          </w:rPr>
          <w:t>3</w:t>
        </w:r>
      </w:hyperlink>
      <w:r>
        <w:t xml:space="preserve"> However contractual restrictions on this obligation are severely limited.</w:t>
      </w:r>
    </w:p>
    <w:p w:rsidR="00000000" w:rsidRDefault="002E7E3E">
      <w:pPr>
        <w:ind w:left="720"/>
        <w:divId w:val="1475096557"/>
        <w:rPr>
          <w:rFonts w:eastAsia="Times New Roman"/>
        </w:rPr>
      </w:pPr>
      <w:r>
        <w:rPr>
          <w:rFonts w:eastAsia="Times New Roman"/>
        </w:rPr>
        <w:t xml:space="preserve">In </w:t>
      </w:r>
      <w:r>
        <w:rPr>
          <w:rFonts w:eastAsia="Times New Roman"/>
          <w:i/>
          <w:iCs/>
        </w:rPr>
        <w:t>Goldman v. Goldman,</w:t>
      </w:r>
      <w:hyperlink w:anchor="bottom" w:history="1">
        <w:r>
          <w:rPr>
            <w:rStyle w:val="Hyperlink"/>
            <w:rFonts w:eastAsia="Times New Roman"/>
          </w:rPr>
          <w:t>4</w:t>
        </w:r>
      </w:hyperlink>
      <w:r>
        <w:rPr>
          <w:rFonts w:eastAsia="Times New Roman"/>
          <w:i/>
          <w:iCs/>
        </w:rPr>
        <w:t xml:space="preserve"> </w:t>
      </w:r>
      <w:r>
        <w:rPr>
          <w:rFonts w:eastAsia="Times New Roman"/>
        </w:rPr>
        <w:t xml:space="preserve">the Court of Appeals held that, where a separation agreement was incorporated in a divorce judgment and survived, the Supreme Court could modify the alimony provisions of the judgment </w:t>
      </w:r>
      <w:r>
        <w:rPr>
          <w:rFonts w:eastAsia="Times New Roman"/>
          <w:i/>
          <w:iCs/>
        </w:rPr>
        <w:t>downward</w:t>
      </w:r>
      <w:r>
        <w:rPr>
          <w:rFonts w:eastAsia="Times New Roman"/>
        </w:rPr>
        <w:t xml:space="preserve">, based on a substantial change in the husband's financial </w:t>
      </w:r>
      <w:r>
        <w:rPr>
          <w:rFonts w:eastAsia="Times New Roman"/>
        </w:rPr>
        <w:t>circumstances, without impeding the contractual provision of a surviving agreement.</w:t>
      </w:r>
    </w:p>
    <w:p w:rsidR="00000000" w:rsidRDefault="002E7E3E">
      <w:pPr>
        <w:ind w:left="720"/>
        <w:divId w:val="1475096557"/>
        <w:rPr>
          <w:rFonts w:eastAsia="Times New Roman"/>
        </w:rPr>
      </w:pPr>
      <w:r>
        <w:rPr>
          <w:rFonts w:eastAsia="Times New Roman"/>
        </w:rPr>
        <w:t xml:space="preserve">In </w:t>
      </w:r>
      <w:r>
        <w:rPr>
          <w:rFonts w:eastAsia="Times New Roman"/>
          <w:i/>
          <w:iCs/>
        </w:rPr>
        <w:t xml:space="preserve">McMains v. McMains, </w:t>
      </w:r>
      <w:r>
        <w:rPr>
          <w:rFonts w:eastAsia="Times New Roman"/>
        </w:rPr>
        <w:t xml:space="preserve">the Court held that the Supreme Court could modify the alimony provisions of the judgment </w:t>
      </w:r>
      <w:r>
        <w:rPr>
          <w:rFonts w:eastAsia="Times New Roman"/>
          <w:i/>
          <w:iCs/>
        </w:rPr>
        <w:t>upward</w:t>
      </w:r>
      <w:r>
        <w:rPr>
          <w:rFonts w:eastAsia="Times New Roman"/>
        </w:rPr>
        <w:t>, where the former wife "is actually unable to suppor</w:t>
      </w:r>
      <w:r>
        <w:rPr>
          <w:rFonts w:eastAsia="Times New Roman"/>
        </w:rPr>
        <w:t>t herself on the amount heretofore allowed and is in actual danger of becoming a public charge."</w:t>
      </w:r>
      <w:hyperlink w:anchor="bottom" w:history="1">
        <w:r>
          <w:rPr>
            <w:rStyle w:val="Hyperlink"/>
            <w:rFonts w:eastAsia="Times New Roman"/>
          </w:rPr>
          <w:t>5</w:t>
        </w:r>
      </w:hyperlink>
      <w:r>
        <w:rPr>
          <w:rFonts w:eastAsia="Times New Roman"/>
        </w:rPr>
        <w:t xml:space="preserve"> In each case it held that modification of the court's alimony award was independent of and did not vary the terms of the agreemen</w:t>
      </w:r>
      <w:r>
        <w:rPr>
          <w:rFonts w:eastAsia="Times New Roman"/>
        </w:rPr>
        <w:t>t.</w:t>
      </w:r>
    </w:p>
    <w:p w:rsidR="00000000" w:rsidRDefault="002E7E3E">
      <w:pPr>
        <w:ind w:left="720"/>
        <w:divId w:val="1475096557"/>
        <w:rPr>
          <w:rFonts w:eastAsia="Times New Roman"/>
        </w:rPr>
      </w:pPr>
      <w:r>
        <w:rPr>
          <w:rFonts w:eastAsia="Times New Roman"/>
        </w:rPr>
        <w:t>Domestic Relations Law (DRL) §236 (B)(9)(b), enacted in 1980 now expressly limits the court's authority to modify the maintenance provisions of a judgment, where there is a surviving agreement, which is incorporated in it, to a showing of extreme hardsh</w:t>
      </w:r>
      <w:r>
        <w:rPr>
          <w:rFonts w:eastAsia="Times New Roman"/>
        </w:rPr>
        <w:t>ip. In that case the terms of the judgment, as modified, supersede those in the agreement for such time and under such circumstances as the court determines. This provision, which does not apply to child support provisions, may not survive a constitutional</w:t>
      </w:r>
      <w:r>
        <w:rPr>
          <w:rFonts w:eastAsia="Times New Roman"/>
        </w:rPr>
        <w:t xml:space="preserve"> challenge.</w:t>
      </w:r>
      <w:hyperlink w:anchor="bottom" w:history="1">
        <w:r>
          <w:rPr>
            <w:rStyle w:val="Hyperlink"/>
            <w:rFonts w:eastAsia="Times New Roman"/>
          </w:rPr>
          <w:t>6</w:t>
        </w:r>
      </w:hyperlink>
    </w:p>
    <w:p w:rsidR="00000000" w:rsidRDefault="002E7E3E">
      <w:pPr>
        <w:ind w:left="720"/>
        <w:divId w:val="1475096557"/>
        <w:rPr>
          <w:rFonts w:eastAsia="Times New Roman"/>
        </w:rPr>
      </w:pPr>
      <w:r>
        <w:rPr>
          <w:rFonts w:eastAsia="Times New Roman"/>
        </w:rPr>
        <w:t xml:space="preserve">Where a separation agreement or stipulation is incorporated in or survives a judgment of divorce, modification of the child support provisions of the judgment is limited by the rule of </w:t>
      </w:r>
      <w:r>
        <w:rPr>
          <w:rFonts w:eastAsia="Times New Roman"/>
          <w:i/>
          <w:iCs/>
        </w:rPr>
        <w:t>Boden v. Boden</w:t>
      </w:r>
      <w:r>
        <w:rPr>
          <w:rFonts w:eastAsia="Times New Roman"/>
        </w:rPr>
        <w:t> </w:t>
      </w:r>
      <w:hyperlink w:anchor="bottom" w:history="1">
        <w:r>
          <w:rPr>
            <w:rStyle w:val="Hyperlink"/>
            <w:rFonts w:eastAsia="Times New Roman"/>
          </w:rPr>
          <w:t>7</w:t>
        </w:r>
      </w:hyperlink>
      <w:r>
        <w:rPr>
          <w:rFonts w:eastAsia="Times New Roman"/>
        </w:rPr>
        <w:t xml:space="preserve"> and </w:t>
      </w:r>
      <w:r>
        <w:rPr>
          <w:rFonts w:eastAsia="Times New Roman"/>
          <w:i/>
          <w:iCs/>
        </w:rPr>
        <w:t>Brescia v. Fitts</w:t>
      </w:r>
      <w:r>
        <w:rPr>
          <w:rFonts w:eastAsia="Times New Roman"/>
        </w:rPr>
        <w:t>.</w:t>
      </w:r>
      <w:hyperlink w:anchor="bottom" w:history="1">
        <w:r>
          <w:rPr>
            <w:rStyle w:val="Hyperlink"/>
            <w:rFonts w:eastAsia="Times New Roman"/>
          </w:rPr>
          <w:t>8</w:t>
        </w:r>
      </w:hyperlink>
      <w:r>
        <w:rPr>
          <w:rFonts w:eastAsia="Times New Roman"/>
        </w:rPr>
        <w:t xml:space="preserve"> The court cannot reallocate the child support obligations between the parents unless there is an unanticipated and unreasonable change in circumstances resulting in a concomitant showing </w:t>
      </w:r>
      <w:r>
        <w:rPr>
          <w:rFonts w:eastAsia="Times New Roman"/>
        </w:rPr>
        <w:t>of need, or where the child's right to receive adequate support is implicated. In such case the court may increase the amount of child support.</w:t>
      </w:r>
    </w:p>
    <w:p w:rsidR="00000000" w:rsidRDefault="002E7E3E">
      <w:pPr>
        <w:pStyle w:val="NormalWeb"/>
        <w:divId w:val="1475096557"/>
        <w:rPr>
          <w:b/>
          <w:bCs/>
        </w:rPr>
      </w:pPr>
      <w:r>
        <w:rPr>
          <w:b/>
          <w:bCs/>
        </w:rPr>
        <w:lastRenderedPageBreak/>
        <w:t>Limiting Changes Is Disfavored</w:t>
      </w:r>
    </w:p>
    <w:p w:rsidR="00000000" w:rsidRDefault="002E7E3E">
      <w:pPr>
        <w:ind w:left="720"/>
        <w:divId w:val="1475096557"/>
        <w:rPr>
          <w:rFonts w:eastAsia="Times New Roman"/>
        </w:rPr>
      </w:pPr>
      <w:r>
        <w:rPr>
          <w:rFonts w:eastAsia="Times New Roman"/>
        </w:rPr>
        <w:t>Agreements limiting modification of a parent's child support obligation are met w</w:t>
      </w:r>
      <w:r>
        <w:rPr>
          <w:rFonts w:eastAsia="Times New Roman"/>
        </w:rPr>
        <w:t xml:space="preserve">ith disfavor by our courts and are rejected as against public policy. In </w:t>
      </w:r>
      <w:r>
        <w:rPr>
          <w:rFonts w:eastAsia="Times New Roman"/>
          <w:i/>
          <w:iCs/>
        </w:rPr>
        <w:t>Maki v. Straub</w:t>
      </w:r>
      <w:r>
        <w:rPr>
          <w:rFonts w:eastAsia="Times New Roman"/>
        </w:rPr>
        <w:t>,</w:t>
      </w:r>
      <w:hyperlink w:anchor="bottom" w:history="1">
        <w:r>
          <w:rPr>
            <w:rStyle w:val="Hyperlink"/>
            <w:rFonts w:eastAsia="Times New Roman"/>
          </w:rPr>
          <w:t>9</w:t>
        </w:r>
      </w:hyperlink>
      <w:r>
        <w:rPr>
          <w:rFonts w:eastAsia="Times New Roman"/>
        </w:rPr>
        <w:t xml:space="preserve"> the Third Department held that the terms of an inadequate child support provision in an agreement do not bind the court or the child and </w:t>
      </w:r>
      <w:r>
        <w:rPr>
          <w:rFonts w:eastAsia="Times New Roman"/>
        </w:rPr>
        <w:t xml:space="preserve">cannot support a civil action for breach of contract. In </w:t>
      </w:r>
      <w:r>
        <w:rPr>
          <w:rFonts w:eastAsia="Times New Roman"/>
          <w:i/>
          <w:iCs/>
        </w:rPr>
        <w:t>Priolo v. Priolo</w:t>
      </w:r>
      <w:r>
        <w:rPr>
          <w:rFonts w:eastAsia="Times New Roman"/>
        </w:rPr>
        <w:t> </w:t>
      </w:r>
      <w:hyperlink w:anchor="bottom" w:history="1">
        <w:r>
          <w:rPr>
            <w:rStyle w:val="Hyperlink"/>
            <w:rFonts w:eastAsia="Times New Roman"/>
          </w:rPr>
          <w:t>10</w:t>
        </w:r>
      </w:hyperlink>
      <w:r>
        <w:rPr>
          <w:rFonts w:eastAsia="Times New Roman"/>
        </w:rPr>
        <w:t xml:space="preserve"> and </w:t>
      </w:r>
      <w:r>
        <w:rPr>
          <w:rFonts w:eastAsia="Times New Roman"/>
          <w:i/>
          <w:iCs/>
        </w:rPr>
        <w:t>Pecora v. Cerillo</w:t>
      </w:r>
      <w:r>
        <w:rPr>
          <w:rFonts w:eastAsia="Times New Roman"/>
        </w:rPr>
        <w:t> </w:t>
      </w:r>
      <w:hyperlink w:anchor="bottom" w:history="1">
        <w:r>
          <w:rPr>
            <w:rStyle w:val="Hyperlink"/>
            <w:rFonts w:eastAsia="Times New Roman"/>
          </w:rPr>
          <w:t>11</w:t>
        </w:r>
      </w:hyperlink>
      <w:r>
        <w:rPr>
          <w:rFonts w:eastAsia="Times New Roman"/>
        </w:rPr>
        <w:t xml:space="preserve"> </w:t>
      </w:r>
      <w:r>
        <w:rPr>
          <w:rFonts w:eastAsia="Times New Roman"/>
        </w:rPr>
        <w:t>the Second Department declared that an agreement to waive the right to initially seek or obtain a modification of child support violates public policy and is void.</w:t>
      </w:r>
    </w:p>
    <w:p w:rsidR="00000000" w:rsidRDefault="002E7E3E">
      <w:pPr>
        <w:ind w:left="720"/>
        <w:divId w:val="1475096557"/>
        <w:rPr>
          <w:rFonts w:eastAsia="Times New Roman"/>
        </w:rPr>
      </w:pPr>
      <w:r>
        <w:rPr>
          <w:rFonts w:eastAsia="Times New Roman"/>
        </w:rPr>
        <w:t>Where an agreement makes a unitary and unallocated provision for the support of the custodia</w:t>
      </w:r>
      <w:r>
        <w:rPr>
          <w:rFonts w:eastAsia="Times New Roman"/>
        </w:rPr>
        <w:t>l parent and child, courts may not apportion the amount and reduce the paying spouse's obligation because the custodial parent is not supporting the child.</w:t>
      </w:r>
      <w:hyperlink w:anchor="bottom" w:history="1">
        <w:r>
          <w:rPr>
            <w:rStyle w:val="Hyperlink"/>
            <w:rFonts w:eastAsia="Times New Roman"/>
          </w:rPr>
          <w:t>12</w:t>
        </w:r>
      </w:hyperlink>
      <w:r>
        <w:rPr>
          <w:rFonts w:eastAsia="Times New Roman"/>
        </w:rPr>
        <w:t xml:space="preserve"> </w:t>
      </w:r>
    </w:p>
    <w:p w:rsidR="00000000" w:rsidRDefault="002E7E3E">
      <w:pPr>
        <w:ind w:left="720"/>
        <w:divId w:val="1475096557"/>
        <w:rPr>
          <w:rFonts w:eastAsia="Times New Roman"/>
        </w:rPr>
      </w:pPr>
      <w:r>
        <w:rPr>
          <w:rFonts w:eastAsia="Times New Roman"/>
        </w:rPr>
        <w:t xml:space="preserve">In </w:t>
      </w:r>
      <w:r>
        <w:rPr>
          <w:rFonts w:eastAsia="Times New Roman"/>
          <w:i/>
          <w:iCs/>
        </w:rPr>
        <w:t>Stern v. Stern,</w:t>
      </w:r>
      <w:hyperlink w:anchor="bottom" w:history="1">
        <w:r>
          <w:rPr>
            <w:rStyle w:val="Hyperlink"/>
            <w:rFonts w:eastAsia="Times New Roman"/>
          </w:rPr>
          <w:t>13</w:t>
        </w:r>
      </w:hyperlink>
      <w:r>
        <w:rPr>
          <w:rFonts w:eastAsia="Times New Roman"/>
        </w:rPr>
        <w:t xml:space="preserve"> the Appellate Divi</w:t>
      </w:r>
      <w:r>
        <w:rPr>
          <w:rFonts w:eastAsia="Times New Roman"/>
        </w:rPr>
        <w:t>sion held that where, "a separation agreement provides for monthly unallocated payments to the wife [for her support and that of the children], to be reduced under certain conditions [when each of the children reaches 21 years, or dies, or marries] it is o</w:t>
      </w:r>
      <w:r>
        <w:rPr>
          <w:rFonts w:eastAsia="Times New Roman"/>
        </w:rPr>
        <w:t xml:space="preserve">nly those conditions, and no others not stated, which will permit of such reduction." Therefore, it rejected the husband's contention that the agreement should be construed so that full payment was to be made to the wife only if the children live with her </w:t>
      </w:r>
      <w:r>
        <w:rPr>
          <w:rFonts w:eastAsia="Times New Roman"/>
        </w:rPr>
        <w:t>until they either reach majority or marry.</w:t>
      </w:r>
    </w:p>
    <w:p w:rsidR="00000000" w:rsidRDefault="002E7E3E">
      <w:pPr>
        <w:ind w:left="720"/>
        <w:divId w:val="1475096557"/>
        <w:rPr>
          <w:rFonts w:eastAsia="Times New Roman"/>
        </w:rPr>
      </w:pPr>
      <w:r>
        <w:rPr>
          <w:rFonts w:eastAsia="Times New Roman"/>
        </w:rPr>
        <w:t>Thus, unless the contract provides otherwise, it is not a defense to an action to enforce the provisions of an agreement providing for the support of a parent and child, that the child is no longer living with her</w:t>
      </w:r>
      <w:hyperlink w:anchor="bottom" w:history="1">
        <w:r>
          <w:rPr>
            <w:rStyle w:val="Hyperlink"/>
            <w:rFonts w:eastAsia="Times New Roman"/>
          </w:rPr>
          <w:t>14</w:t>
        </w:r>
      </w:hyperlink>
      <w:r>
        <w:rPr>
          <w:rFonts w:eastAsia="Times New Roman"/>
        </w:rPr>
        <w:t xml:space="preserve"> or is living with the paying spouse.</w:t>
      </w:r>
    </w:p>
    <w:p w:rsidR="00000000" w:rsidRDefault="002E7E3E">
      <w:pPr>
        <w:pStyle w:val="NormalWeb"/>
        <w:divId w:val="1475096557"/>
        <w:rPr>
          <w:b/>
          <w:bCs/>
        </w:rPr>
      </w:pPr>
      <w:r>
        <w:rPr>
          <w:b/>
          <w:bCs/>
        </w:rPr>
        <w:t>When Child Reaches Age 21</w:t>
      </w:r>
    </w:p>
    <w:p w:rsidR="00000000" w:rsidRDefault="002E7E3E">
      <w:pPr>
        <w:ind w:left="720"/>
        <w:divId w:val="1475096557"/>
        <w:rPr>
          <w:rFonts w:eastAsia="Times New Roman"/>
        </w:rPr>
      </w:pPr>
      <w:r>
        <w:rPr>
          <w:rFonts w:eastAsia="Times New Roman"/>
        </w:rPr>
        <w:t>While a parents child support obligation ordinarily terminates upon the child reaching age 21,</w:t>
      </w:r>
      <w:hyperlink w:anchor="bottom" w:history="1">
        <w:r>
          <w:rPr>
            <w:rStyle w:val="Hyperlink"/>
            <w:rFonts w:eastAsia="Times New Roman"/>
          </w:rPr>
          <w:t>15</w:t>
        </w:r>
      </w:hyperlink>
      <w:r>
        <w:rPr>
          <w:rFonts w:eastAsia="Times New Roman"/>
        </w:rPr>
        <w:t xml:space="preserve"> the parties can agree that the supp</w:t>
      </w:r>
      <w:r>
        <w:rPr>
          <w:rFonts w:eastAsia="Times New Roman"/>
        </w:rPr>
        <w:t>ort obligation will continue beyond 21, and such a contract will be enforced.</w:t>
      </w:r>
      <w:hyperlink w:anchor="bottom" w:history="1">
        <w:r>
          <w:rPr>
            <w:rStyle w:val="Hyperlink"/>
            <w:rFonts w:eastAsia="Times New Roman"/>
          </w:rPr>
          <w:t>16</w:t>
        </w:r>
      </w:hyperlink>
      <w:r>
        <w:rPr>
          <w:rFonts w:eastAsia="Times New Roman"/>
        </w:rPr>
        <w:t xml:space="preserve"> Thus, a father was obligated to continue to pay a sum provided for in an agreement, despite his daughter's reaching her majority, where the agreeme</w:t>
      </w:r>
      <w:r>
        <w:rPr>
          <w:rFonts w:eastAsia="Times New Roman"/>
        </w:rPr>
        <w:t>nt specified a single sum for the support of the wife and two children.</w:t>
      </w:r>
      <w:hyperlink w:anchor="bottom" w:history="1">
        <w:r>
          <w:rPr>
            <w:rStyle w:val="Hyperlink"/>
            <w:rFonts w:eastAsia="Times New Roman"/>
          </w:rPr>
          <w:t>17</w:t>
        </w:r>
      </w:hyperlink>
    </w:p>
    <w:p w:rsidR="00000000" w:rsidRDefault="002E7E3E">
      <w:pPr>
        <w:ind w:left="720"/>
        <w:divId w:val="1475096557"/>
        <w:rPr>
          <w:rFonts w:eastAsia="Times New Roman"/>
        </w:rPr>
      </w:pPr>
      <w:r>
        <w:rPr>
          <w:rFonts w:eastAsia="Times New Roman"/>
        </w:rPr>
        <w:t>An agreement that the father was to support his child in college or professional school after the child became 21 was held to be enforceable.</w:t>
      </w:r>
      <w:hyperlink w:anchor="bottom" w:history="1">
        <w:r>
          <w:rPr>
            <w:rStyle w:val="Hyperlink"/>
            <w:rFonts w:eastAsia="Times New Roman"/>
          </w:rPr>
          <w:t>18</w:t>
        </w:r>
      </w:hyperlink>
      <w:r>
        <w:rPr>
          <w:rFonts w:eastAsia="Times New Roman"/>
        </w:rPr>
        <w:t xml:space="preserve"> Where a father signed an agreement making him liable for the support of his disabled son beyond the son's majority, if the child's handicap prevented him from being self-supporting, the father remained responsible for the support of his</w:t>
      </w:r>
      <w:r>
        <w:rPr>
          <w:rFonts w:eastAsia="Times New Roman"/>
        </w:rPr>
        <w:t xml:space="preserve"> son.</w:t>
      </w:r>
      <w:hyperlink w:anchor="bottom" w:history="1">
        <w:r>
          <w:rPr>
            <w:rStyle w:val="Hyperlink"/>
            <w:rFonts w:eastAsia="Times New Roman"/>
          </w:rPr>
          <w:t>19</w:t>
        </w:r>
      </w:hyperlink>
      <w:r>
        <w:rPr>
          <w:rFonts w:eastAsia="Times New Roman"/>
        </w:rPr>
        <w:t xml:space="preserve"> Unless an agreement provides otherwise, the fact that children become emancipated before reaching 21 does not operate to release the paying parent from his or her obligation to support them under the terms of an agreeme</w:t>
      </w:r>
      <w:r>
        <w:rPr>
          <w:rFonts w:eastAsia="Times New Roman"/>
        </w:rPr>
        <w:t>nt.</w:t>
      </w:r>
      <w:hyperlink w:anchor="bottom" w:history="1">
        <w:r>
          <w:rPr>
            <w:rStyle w:val="Hyperlink"/>
            <w:rFonts w:eastAsia="Times New Roman"/>
          </w:rPr>
          <w:t>20</w:t>
        </w:r>
      </w:hyperlink>
    </w:p>
    <w:p w:rsidR="00000000" w:rsidRDefault="002E7E3E">
      <w:pPr>
        <w:ind w:left="720"/>
        <w:divId w:val="1475096557"/>
        <w:rPr>
          <w:rFonts w:eastAsia="Times New Roman"/>
        </w:rPr>
      </w:pPr>
      <w:r>
        <w:rPr>
          <w:rFonts w:eastAsia="Times New Roman"/>
        </w:rPr>
        <w:lastRenderedPageBreak/>
        <w:t xml:space="preserve">In </w:t>
      </w:r>
      <w:r>
        <w:rPr>
          <w:rFonts w:eastAsia="Times New Roman"/>
          <w:i/>
          <w:iCs/>
        </w:rPr>
        <w:t>Nichols v. Nichols,</w:t>
      </w:r>
      <w:hyperlink w:anchor="bottom" w:history="1">
        <w:r>
          <w:rPr>
            <w:rStyle w:val="Hyperlink"/>
            <w:rFonts w:eastAsia="Times New Roman"/>
          </w:rPr>
          <w:t>21</w:t>
        </w:r>
      </w:hyperlink>
      <w:r>
        <w:rPr>
          <w:rFonts w:eastAsia="Times New Roman"/>
        </w:rPr>
        <w:t xml:space="preserve"> a 1954 case, the separation agreement was approved by a Nevada decree of divorce. The former wife brought an action to recover arrears of support for the months from A</w:t>
      </w:r>
      <w:r>
        <w:rPr>
          <w:rFonts w:eastAsia="Times New Roman"/>
        </w:rPr>
        <w:t>ugust 1950 to August 1951. The defense was based on the fact that in August 1950, defendant took custody of the children who, under the terms of the agreement and decree, had lived with their mother, and in March 1951, the court awarded their custody to th</w:t>
      </w:r>
      <w:r>
        <w:rPr>
          <w:rFonts w:eastAsia="Times New Roman"/>
        </w:rPr>
        <w:t>eir father. The defendant argued that the agreement should be construed as to reduce his alimony payments.</w:t>
      </w:r>
    </w:p>
    <w:p w:rsidR="00000000" w:rsidRDefault="002E7E3E">
      <w:pPr>
        <w:ind w:left="720"/>
        <w:divId w:val="1475096557"/>
        <w:rPr>
          <w:rFonts w:eastAsia="Times New Roman"/>
        </w:rPr>
      </w:pPr>
      <w:r>
        <w:rPr>
          <w:rFonts w:eastAsia="Times New Roman"/>
        </w:rPr>
        <w:t>The agreement provided, with respect to alimony:</w:t>
      </w:r>
    </w:p>
    <w:p w:rsidR="00000000" w:rsidRDefault="002E7E3E">
      <w:pPr>
        <w:pStyle w:val="NormalWeb"/>
        <w:divId w:val="748774452"/>
      </w:pPr>
      <w:r>
        <w:t>For the support and maintenance of the wife and for the support, education and maintenance of the ch</w:t>
      </w:r>
      <w:r>
        <w:t>ildren the husband agrees to make the following payments to the wife:</w:t>
      </w:r>
    </w:p>
    <w:p w:rsidR="00000000" w:rsidRDefault="002E7E3E">
      <w:pPr>
        <w:ind w:left="720"/>
        <w:divId w:val="1475096557"/>
        <w:rPr>
          <w:rFonts w:eastAsia="Times New Roman"/>
        </w:rPr>
      </w:pPr>
      <w:r>
        <w:rPr>
          <w:rFonts w:eastAsia="Times New Roman"/>
        </w:rPr>
        <w:t>(a) $125,000 in cash upon the delivery of this agreement.</w:t>
      </w:r>
    </w:p>
    <w:p w:rsidR="00000000" w:rsidRDefault="002E7E3E">
      <w:pPr>
        <w:ind w:left="720"/>
        <w:divId w:val="1475096557"/>
        <w:rPr>
          <w:rFonts w:eastAsia="Times New Roman"/>
        </w:rPr>
      </w:pPr>
      <w:r>
        <w:rPr>
          <w:rFonts w:eastAsia="Times New Roman"/>
        </w:rPr>
        <w:t xml:space="preserve">(b) Until the death of the husband or the death or the remarriage of the wife, whichever may first occur, the sum of $2,500 per </w:t>
      </w:r>
      <w:r>
        <w:rPr>
          <w:rFonts w:eastAsia="Times New Roman"/>
        </w:rPr>
        <w:t>month on or before the first day of each month.</w:t>
      </w:r>
    </w:p>
    <w:p w:rsidR="00000000" w:rsidRDefault="002E7E3E">
      <w:pPr>
        <w:ind w:left="720"/>
        <w:divId w:val="1475096557"/>
        <w:rPr>
          <w:rFonts w:eastAsia="Times New Roman"/>
        </w:rPr>
      </w:pPr>
      <w:r>
        <w:rPr>
          <w:rFonts w:eastAsia="Times New Roman"/>
        </w:rPr>
        <w:t>(c) In the event of the remarriage of the wife, the amount of said monthly payments shall be reduced at the rate of $15,000 per year.</w:t>
      </w:r>
    </w:p>
    <w:p w:rsidR="00000000" w:rsidRDefault="002E7E3E">
      <w:pPr>
        <w:ind w:left="720"/>
        <w:divId w:val="1475096557"/>
        <w:rPr>
          <w:rFonts w:eastAsia="Times New Roman"/>
        </w:rPr>
      </w:pPr>
      <w:r>
        <w:rPr>
          <w:rFonts w:eastAsia="Times New Roman"/>
        </w:rPr>
        <w:t>(d) Upon the death or its attaining the age of 25 years, whichever may fir</w:t>
      </w:r>
      <w:r>
        <w:rPr>
          <w:rFonts w:eastAsia="Times New Roman"/>
        </w:rPr>
        <w:t>st occur, of any child, the amount of the monthly payments then being made by the husband shall be reduced at the rate of $5,000 per year in respect to each such child. Provided, however, that if after its attaining the age of 21 years, any child shall not</w:t>
      </w:r>
      <w:r>
        <w:rPr>
          <w:rFonts w:eastAsia="Times New Roman"/>
        </w:rPr>
        <w:t xml:space="preserve"> be making its permanent home with the wife, such payments shall also be so reduced for so long as such situation continues and in such event, the husband shall make monthly payments at the rate of $5,000 per year directly to such child until such child re</w:t>
      </w:r>
      <w:r>
        <w:rPr>
          <w:rFonts w:eastAsia="Times New Roman"/>
        </w:rPr>
        <w:t>turns to the wife's home or attains the age of 25 years.</w:t>
      </w:r>
    </w:p>
    <w:p w:rsidR="00000000" w:rsidRDefault="002E7E3E">
      <w:pPr>
        <w:pStyle w:val="NormalWeb"/>
        <w:divId w:val="1475096557"/>
        <w:rPr>
          <w:b/>
          <w:bCs/>
        </w:rPr>
      </w:pPr>
      <w:r>
        <w:rPr>
          <w:b/>
          <w:bCs/>
        </w:rPr>
        <w:t>Plain Language</w:t>
      </w:r>
    </w:p>
    <w:p w:rsidR="00000000" w:rsidRDefault="002E7E3E">
      <w:pPr>
        <w:ind w:left="720"/>
        <w:divId w:val="1475096557"/>
        <w:rPr>
          <w:rFonts w:eastAsia="Times New Roman"/>
        </w:rPr>
      </w:pPr>
      <w:r>
        <w:rPr>
          <w:rFonts w:eastAsia="Times New Roman"/>
        </w:rPr>
        <w:t xml:space="preserve">The Court of Appeals held that this language was plain enough. It noted that there was no allocation, as there was in </w:t>
      </w:r>
      <w:r>
        <w:rPr>
          <w:rFonts w:eastAsia="Times New Roman"/>
          <w:i/>
          <w:iCs/>
        </w:rPr>
        <w:t>Matter of Herzog,</w:t>
      </w:r>
      <w:hyperlink w:anchor="bottom" w:history="1">
        <w:r>
          <w:rPr>
            <w:rStyle w:val="Hyperlink"/>
            <w:rFonts w:eastAsia="Times New Roman"/>
          </w:rPr>
          <w:t>22</w:t>
        </w:r>
      </w:hyperlink>
      <w:r>
        <w:rPr>
          <w:rFonts w:eastAsia="Times New Roman"/>
        </w:rPr>
        <w:t xml:space="preserve"> of a specific mon</w:t>
      </w:r>
      <w:r>
        <w:rPr>
          <w:rFonts w:eastAsia="Times New Roman"/>
        </w:rPr>
        <w:t>thly amount for the children or for each child or a specific amount for the wife. The $2,500 per month was a single, undivided amount.</w:t>
      </w:r>
    </w:p>
    <w:p w:rsidR="00000000" w:rsidRDefault="002E7E3E">
      <w:pPr>
        <w:ind w:left="720"/>
        <w:divId w:val="1475096557"/>
        <w:rPr>
          <w:rFonts w:eastAsia="Times New Roman"/>
        </w:rPr>
      </w:pPr>
      <w:r>
        <w:rPr>
          <w:rFonts w:eastAsia="Times New Roman"/>
        </w:rPr>
        <w:t xml:space="preserve">Furthermore, the agreement listed categorically the situations in which the monthly $2,500 was to be reduced. "First, on </w:t>
      </w:r>
      <w:r>
        <w:rPr>
          <w:rFonts w:eastAsia="Times New Roman"/>
        </w:rPr>
        <w:t>the remarriage of the wife, second, on the death or attainment of the age of [25] years by any child, or third, in the event of the living apart from the mother, after reaching [21] and before reaching [25], of any child."</w:t>
      </w:r>
    </w:p>
    <w:p w:rsidR="00000000" w:rsidRDefault="002E7E3E">
      <w:pPr>
        <w:ind w:left="720"/>
        <w:divId w:val="1475096557"/>
        <w:rPr>
          <w:rFonts w:eastAsia="Times New Roman"/>
        </w:rPr>
      </w:pPr>
      <w:r>
        <w:rPr>
          <w:rFonts w:eastAsia="Times New Roman"/>
        </w:rPr>
        <w:t>Not only did that careful listing</w:t>
      </w:r>
      <w:r>
        <w:rPr>
          <w:rFonts w:eastAsia="Times New Roman"/>
        </w:rPr>
        <w:t xml:space="preserve"> of exceptions fail to provide for any reduction, but it demonstrated that the parties actually had in mind that one or more children might at some time be living apart from the mother. "So realizing, they provided for a reduction of the alimony at the rat</w:t>
      </w:r>
      <w:r>
        <w:rPr>
          <w:rFonts w:eastAsia="Times New Roman"/>
        </w:rPr>
        <w:t xml:space="preserve">e of </w:t>
      </w:r>
      <w:r>
        <w:rPr>
          <w:rFonts w:eastAsia="Times New Roman"/>
        </w:rPr>
        <w:lastRenderedPageBreak/>
        <w:t>$5,000 per year for any such child, if he or she should reside apart from the mother's home while that child was between the ages of [21] and [25] years. At the time the father took the children, in August 1950, they were 11, 12 and 14 years of age, r</w:t>
      </w:r>
      <w:r>
        <w:rPr>
          <w:rFonts w:eastAsia="Times New Roman"/>
        </w:rPr>
        <w:t>espectively."</w:t>
      </w:r>
    </w:p>
    <w:p w:rsidR="00000000" w:rsidRDefault="002E7E3E">
      <w:pPr>
        <w:ind w:left="720"/>
        <w:divId w:val="1475096557"/>
        <w:rPr>
          <w:rFonts w:eastAsia="Times New Roman"/>
        </w:rPr>
      </w:pPr>
      <w:r>
        <w:rPr>
          <w:rFonts w:eastAsia="Times New Roman"/>
        </w:rPr>
        <w:t>The Court of Appeals concluded:</w:t>
      </w:r>
    </w:p>
    <w:p w:rsidR="00000000" w:rsidRDefault="002E7E3E">
      <w:pPr>
        <w:pStyle w:val="NormalWeb"/>
        <w:divId w:val="1475096557"/>
      </w:pPr>
      <w:r>
        <w:t>How can the courts say that the monthly payment is to be reduced because the children are with their father when the agreement itself lists all the eventualities in which there is to be a reduction, and omits the one that has occurred? The agreement itself</w:t>
      </w:r>
      <w:r>
        <w:t xml:space="preserve"> in terms destroys this defense since it provides for a reduction as to a child living apart from its mother when the child is between [21] and [25] years of age, only. It is not only the language but the sense of this agreement that, so long as the father</w:t>
      </w:r>
      <w:r>
        <w:t xml:space="preserve"> is alive and the mother is alive and unmarried, and the children are alive and under [21] years of age, the monthly payment shall be $2,500 per month, no more and no less.</w:t>
      </w:r>
    </w:p>
    <w:p w:rsidR="00000000" w:rsidRDefault="002E7E3E">
      <w:pPr>
        <w:pStyle w:val="NormalWeb"/>
      </w:pPr>
      <w:r>
        <w:t xml:space="preserve">The </w:t>
      </w:r>
      <w:r>
        <w:rPr>
          <w:i/>
          <w:iCs/>
        </w:rPr>
        <w:t>Nichols</w:t>
      </w:r>
      <w:r>
        <w:t xml:space="preserve"> court noted that in </w:t>
      </w:r>
      <w:r>
        <w:rPr>
          <w:i/>
          <w:iCs/>
        </w:rPr>
        <w:t>Rehill v. Rehill</w:t>
      </w:r>
      <w:r>
        <w:t xml:space="preserve"> it held that a $200-per-month agre</w:t>
      </w:r>
      <w:r>
        <w:t>ed payment to the wife "for her support and maintenance and for the support and maintenance of their children, until she shall die or remarry" could not be reduced by the husband or by the court simply because, after coming of age, one of the daughters mov</w:t>
      </w:r>
      <w:r>
        <w:t>ed out of her mother's residence. To the husband's argument that the parties intended that the full amount should be paid only so long as the wife actually supported both children in her home, the court stated that: "The simple answer to this defense is th</w:t>
      </w:r>
      <w:r>
        <w:t xml:space="preserve">at the separation agreement contains no such provision." </w:t>
      </w:r>
    </w:p>
    <w:p w:rsidR="00000000" w:rsidRDefault="002E7E3E">
      <w:pPr>
        <w:ind w:left="720"/>
        <w:rPr>
          <w:rFonts w:eastAsia="Times New Roman"/>
        </w:rPr>
      </w:pPr>
      <w:r>
        <w:rPr>
          <w:rFonts w:eastAsia="Times New Roman"/>
        </w:rPr>
        <w:t xml:space="preserve">Recently, in </w:t>
      </w:r>
      <w:r>
        <w:rPr>
          <w:rFonts w:eastAsia="Times New Roman"/>
          <w:i/>
          <w:iCs/>
        </w:rPr>
        <w:t>Merl v. Merl,</w:t>
      </w:r>
      <w:hyperlink w:anchor="bottom" w:history="1">
        <w:r>
          <w:rPr>
            <w:rStyle w:val="Hyperlink"/>
            <w:rFonts w:eastAsia="Times New Roman"/>
          </w:rPr>
          <w:t>23</w:t>
        </w:r>
      </w:hyperlink>
      <w:r>
        <w:rPr>
          <w:rFonts w:eastAsia="Times New Roman"/>
        </w:rPr>
        <w:t xml:space="preserve"> the parties' separation agreement that was incorporated into but not merged with the judgment of divorce obligated defendant father to pay c</w:t>
      </w:r>
      <w:r>
        <w:rPr>
          <w:rFonts w:eastAsia="Times New Roman"/>
        </w:rPr>
        <w:t>hild support of $110 per week per child and half of each child's college expenses until each child became emancipated. It also obligated him to bequeath two-thirds of his estate to the children.</w:t>
      </w:r>
    </w:p>
    <w:p w:rsidR="00000000" w:rsidRDefault="002E7E3E">
      <w:pPr>
        <w:ind w:left="720"/>
        <w:rPr>
          <w:rFonts w:eastAsia="Times New Roman"/>
        </w:rPr>
      </w:pPr>
      <w:r>
        <w:rPr>
          <w:rFonts w:eastAsia="Times New Roman"/>
        </w:rPr>
        <w:t>The wife, who was given custody of the children, remarried. S</w:t>
      </w:r>
      <w:r>
        <w:rPr>
          <w:rFonts w:eastAsia="Times New Roman"/>
        </w:rPr>
        <w:t>he and her children resided with her new husband, Zimmerman. Defendant sought a modification of the support obligations enuring to his two sons and the obligation to bequeath a part of his estate to them contending that they had abandoned him by legally ch</w:t>
      </w:r>
      <w:r>
        <w:rPr>
          <w:rFonts w:eastAsia="Times New Roman"/>
        </w:rPr>
        <w:t>anging their surname to Zimmerman and refusing to visit with, speak to or maintain any relationship with him.</w:t>
      </w:r>
    </w:p>
    <w:p w:rsidR="00000000" w:rsidRDefault="002E7E3E">
      <w:pPr>
        <w:ind w:left="720"/>
        <w:rPr>
          <w:rFonts w:eastAsia="Times New Roman"/>
        </w:rPr>
      </w:pPr>
      <w:r>
        <w:rPr>
          <w:rFonts w:eastAsia="Times New Roman"/>
        </w:rPr>
        <w:t>The Court of Appeals pointed out that the case law distinguishes between modification of a separation agreement and that of a divorce decree. A se</w:t>
      </w:r>
      <w:r>
        <w:rPr>
          <w:rFonts w:eastAsia="Times New Roman"/>
        </w:rPr>
        <w:t>paration agreement that is incorporated into but not merged with a divorce decree is an independent contract binding on the parties unless impeached or challenged for some cause recognized by law. "Courts of this State enjoy only limited authority to distu</w:t>
      </w:r>
      <w:r>
        <w:rPr>
          <w:rFonts w:eastAsia="Times New Roman"/>
        </w:rPr>
        <w:t>rb the terms of a separation agreement."</w:t>
      </w:r>
    </w:p>
    <w:p w:rsidR="00000000" w:rsidRDefault="002E7E3E">
      <w:pPr>
        <w:ind w:left="720"/>
        <w:rPr>
          <w:rFonts w:eastAsia="Times New Roman"/>
        </w:rPr>
      </w:pPr>
      <w:r>
        <w:rPr>
          <w:rFonts w:eastAsia="Times New Roman"/>
        </w:rPr>
        <w:t>Since the separation agreement was neither impeached nor challenged for any cause recognized by law, the Court held that defendant's request for modification of the support obligations, based on his sons' legal chan</w:t>
      </w:r>
      <w:r>
        <w:rPr>
          <w:rFonts w:eastAsia="Times New Roman"/>
        </w:rPr>
        <w:t>ge of their surname, was not a valid basis on which to make the modification as requested.</w:t>
      </w:r>
    </w:p>
    <w:p w:rsidR="00000000" w:rsidRDefault="002E7E3E">
      <w:pPr>
        <w:pStyle w:val="NormalWeb"/>
        <w:jc w:val="center"/>
      </w:pPr>
      <w:r>
        <w:t>----------------------</w:t>
      </w:r>
    </w:p>
    <w:p w:rsidR="00000000" w:rsidRDefault="002E7E3E">
      <w:pPr>
        <w:pStyle w:val="NormalWeb"/>
        <w:jc w:val="center"/>
      </w:pPr>
      <w:r>
        <w:lastRenderedPageBreak/>
        <w:t>Notes</w:t>
      </w:r>
    </w:p>
    <w:p w:rsidR="00000000" w:rsidRDefault="002E7E3E">
      <w:pPr>
        <w:ind w:left="720"/>
        <w:rPr>
          <w:rFonts w:eastAsia="Times New Roman"/>
        </w:rPr>
      </w:pPr>
      <w:bookmarkStart w:id="1" w:name="bottom"/>
      <w:bookmarkEnd w:id="1"/>
      <w:r>
        <w:rPr>
          <w:rFonts w:eastAsia="Times New Roman"/>
          <w:sz w:val="20"/>
          <w:szCs w:val="20"/>
        </w:rPr>
        <w:t>(1) Domestic Relations Law §240 (1-b)(b)(2); Family Court Act §413 (1)(b)(2).</w:t>
      </w:r>
    </w:p>
    <w:p w:rsidR="00000000" w:rsidRDefault="002E7E3E">
      <w:pPr>
        <w:ind w:left="720"/>
        <w:rPr>
          <w:rFonts w:eastAsia="Times New Roman"/>
        </w:rPr>
      </w:pPr>
      <w:r>
        <w:rPr>
          <w:rFonts w:eastAsia="Times New Roman"/>
          <w:sz w:val="20"/>
          <w:szCs w:val="20"/>
        </w:rPr>
        <w:t xml:space="preserve">(2) See </w:t>
      </w:r>
      <w:r>
        <w:rPr>
          <w:rFonts w:eastAsia="Times New Roman"/>
          <w:i/>
          <w:iCs/>
          <w:sz w:val="20"/>
          <w:szCs w:val="20"/>
        </w:rPr>
        <w:t>Genther v. Genther</w:t>
      </w:r>
      <w:r>
        <w:rPr>
          <w:rFonts w:eastAsia="Times New Roman"/>
          <w:sz w:val="20"/>
          <w:szCs w:val="20"/>
        </w:rPr>
        <w:t xml:space="preserve"> (1992, 2d Dept.) 180 AD2d 662.</w:t>
      </w:r>
    </w:p>
    <w:p w:rsidR="00000000" w:rsidRDefault="002E7E3E">
      <w:pPr>
        <w:ind w:left="720"/>
        <w:rPr>
          <w:rFonts w:eastAsia="Times New Roman"/>
        </w:rPr>
      </w:pPr>
      <w:r>
        <w:rPr>
          <w:rFonts w:eastAsia="Times New Roman"/>
          <w:sz w:val="20"/>
          <w:szCs w:val="20"/>
        </w:rPr>
        <w:t xml:space="preserve">(3) </w:t>
      </w:r>
      <w:r>
        <w:rPr>
          <w:rFonts w:eastAsia="Times New Roman"/>
          <w:i/>
          <w:iCs/>
          <w:sz w:val="20"/>
          <w:szCs w:val="20"/>
        </w:rPr>
        <w:t>Cohen v. Cronin</w:t>
      </w:r>
      <w:r>
        <w:rPr>
          <w:rFonts w:eastAsia="Times New Roman"/>
          <w:sz w:val="20"/>
          <w:szCs w:val="20"/>
        </w:rPr>
        <w:t xml:space="preserve"> (1976) 39 NYS2d 42.</w:t>
      </w:r>
    </w:p>
    <w:p w:rsidR="00000000" w:rsidRDefault="002E7E3E">
      <w:pPr>
        <w:ind w:left="720"/>
        <w:rPr>
          <w:rFonts w:eastAsia="Times New Roman"/>
        </w:rPr>
      </w:pPr>
      <w:r>
        <w:rPr>
          <w:rFonts w:eastAsia="Times New Roman"/>
          <w:sz w:val="20"/>
          <w:szCs w:val="20"/>
        </w:rPr>
        <w:t>(4) 282 NY 296, 26 NE2d 265.</w:t>
      </w:r>
    </w:p>
    <w:p w:rsidR="00000000" w:rsidRDefault="002E7E3E">
      <w:pPr>
        <w:ind w:left="720"/>
        <w:rPr>
          <w:rFonts w:eastAsia="Times New Roman"/>
        </w:rPr>
      </w:pPr>
      <w:r>
        <w:rPr>
          <w:rFonts w:eastAsia="Times New Roman"/>
          <w:sz w:val="20"/>
          <w:szCs w:val="20"/>
        </w:rPr>
        <w:t>(5) 15 NY2d 283, 258 NYS2d 93.</w:t>
      </w:r>
    </w:p>
    <w:p w:rsidR="00000000" w:rsidRDefault="002E7E3E">
      <w:pPr>
        <w:ind w:left="720"/>
        <w:rPr>
          <w:rFonts w:eastAsia="Times New Roman"/>
        </w:rPr>
      </w:pPr>
      <w:r>
        <w:rPr>
          <w:rFonts w:eastAsia="Times New Roman"/>
          <w:sz w:val="20"/>
          <w:szCs w:val="20"/>
        </w:rPr>
        <w:t xml:space="preserve">(6) See </w:t>
      </w:r>
      <w:r>
        <w:rPr>
          <w:rFonts w:eastAsia="Times New Roman"/>
          <w:i/>
          <w:iCs/>
          <w:sz w:val="20"/>
          <w:szCs w:val="20"/>
        </w:rPr>
        <w:t>Busetti v. Busetti</w:t>
      </w:r>
      <w:r>
        <w:rPr>
          <w:rFonts w:eastAsia="Times New Roman"/>
          <w:sz w:val="20"/>
          <w:szCs w:val="20"/>
        </w:rPr>
        <w:t xml:space="preserve"> 108 AD2d 769 (2d Dept. 1985); </w:t>
      </w:r>
      <w:r>
        <w:rPr>
          <w:rFonts w:eastAsia="Times New Roman"/>
          <w:i/>
          <w:iCs/>
          <w:sz w:val="20"/>
          <w:szCs w:val="20"/>
        </w:rPr>
        <w:t>Kleila v. Kleila</w:t>
      </w:r>
      <w:r>
        <w:rPr>
          <w:rFonts w:eastAsia="Times New Roman"/>
          <w:sz w:val="20"/>
          <w:szCs w:val="20"/>
        </w:rPr>
        <w:t xml:space="preserve"> 50 NYS2d 277, </w:t>
      </w:r>
      <w:r>
        <w:rPr>
          <w:rFonts w:eastAsia="Times New Roman"/>
          <w:i/>
          <w:iCs/>
          <w:sz w:val="20"/>
          <w:szCs w:val="20"/>
        </w:rPr>
        <w:t>Cohen v. Seletsky</w:t>
      </w:r>
      <w:r>
        <w:rPr>
          <w:rFonts w:eastAsia="Times New Roman"/>
          <w:sz w:val="20"/>
          <w:szCs w:val="20"/>
        </w:rPr>
        <w:t>, 142 AD2d 111 (2d Dept. 1988).</w:t>
      </w:r>
    </w:p>
    <w:p w:rsidR="00000000" w:rsidRDefault="002E7E3E">
      <w:pPr>
        <w:ind w:left="720"/>
        <w:rPr>
          <w:rFonts w:eastAsia="Times New Roman"/>
        </w:rPr>
      </w:pPr>
      <w:r>
        <w:rPr>
          <w:rFonts w:eastAsia="Times New Roman"/>
          <w:sz w:val="20"/>
          <w:szCs w:val="20"/>
        </w:rPr>
        <w:t>(7) 42 NY2d 210.</w:t>
      </w:r>
    </w:p>
    <w:p w:rsidR="00000000" w:rsidRDefault="002E7E3E">
      <w:pPr>
        <w:ind w:left="720"/>
        <w:rPr>
          <w:rFonts w:eastAsia="Times New Roman"/>
        </w:rPr>
      </w:pPr>
      <w:r>
        <w:rPr>
          <w:rFonts w:eastAsia="Times New Roman"/>
          <w:sz w:val="20"/>
          <w:szCs w:val="20"/>
        </w:rPr>
        <w:t>(8</w:t>
      </w:r>
      <w:r>
        <w:rPr>
          <w:rFonts w:eastAsia="Times New Roman"/>
          <w:sz w:val="20"/>
          <w:szCs w:val="20"/>
        </w:rPr>
        <w:t>) 56 NY2d 132.</w:t>
      </w:r>
    </w:p>
    <w:p w:rsidR="00000000" w:rsidRDefault="002E7E3E">
      <w:pPr>
        <w:ind w:left="720"/>
        <w:rPr>
          <w:rFonts w:eastAsia="Times New Roman"/>
        </w:rPr>
      </w:pPr>
      <w:r>
        <w:rPr>
          <w:rFonts w:eastAsia="Times New Roman"/>
          <w:sz w:val="20"/>
          <w:szCs w:val="20"/>
        </w:rPr>
        <w:t>(9) 167 AD2d 589 (3d Dept. 1990).</w:t>
      </w:r>
    </w:p>
    <w:p w:rsidR="00000000" w:rsidRDefault="002E7E3E">
      <w:pPr>
        <w:ind w:left="720"/>
        <w:rPr>
          <w:rFonts w:eastAsia="Times New Roman"/>
        </w:rPr>
      </w:pPr>
      <w:r>
        <w:rPr>
          <w:rFonts w:eastAsia="Times New Roman"/>
          <w:sz w:val="20"/>
          <w:szCs w:val="20"/>
        </w:rPr>
        <w:t>(10) 211 AD2d 627 (2d Dept. 1995).</w:t>
      </w:r>
    </w:p>
    <w:p w:rsidR="00000000" w:rsidRDefault="002E7E3E">
      <w:pPr>
        <w:ind w:left="720"/>
        <w:rPr>
          <w:rFonts w:eastAsia="Times New Roman"/>
        </w:rPr>
      </w:pPr>
      <w:r>
        <w:rPr>
          <w:rFonts w:eastAsia="Times New Roman"/>
          <w:sz w:val="20"/>
          <w:szCs w:val="20"/>
        </w:rPr>
        <w:t xml:space="preserve">(11) 207 AD2d 215 (2d Dept. 1995); See also </w:t>
      </w:r>
      <w:r>
        <w:rPr>
          <w:rFonts w:eastAsia="Times New Roman"/>
          <w:i/>
          <w:iCs/>
          <w:sz w:val="20"/>
          <w:szCs w:val="20"/>
        </w:rPr>
        <w:t>Harriman v.</w:t>
      </w:r>
      <w:r>
        <w:rPr>
          <w:rFonts w:eastAsia="Times New Roman"/>
          <w:sz w:val="20"/>
          <w:szCs w:val="20"/>
        </w:rPr>
        <w:t xml:space="preserve"> </w:t>
      </w:r>
      <w:r>
        <w:rPr>
          <w:rFonts w:eastAsia="Times New Roman"/>
          <w:i/>
          <w:iCs/>
          <w:sz w:val="20"/>
          <w:szCs w:val="20"/>
        </w:rPr>
        <w:t>Harriman,</w:t>
      </w:r>
      <w:r>
        <w:rPr>
          <w:rFonts w:eastAsia="Times New Roman"/>
          <w:sz w:val="20"/>
          <w:szCs w:val="20"/>
        </w:rPr>
        <w:t xml:space="preserve"> NYS2d 405 (3d Dept</w:t>
      </w:r>
      <w:r>
        <w:rPr>
          <w:rFonts w:eastAsia="Times New Roman"/>
          <w:i/>
          <w:iCs/>
          <w:sz w:val="20"/>
          <w:szCs w:val="20"/>
        </w:rPr>
        <w:t>.</w:t>
      </w:r>
      <w:r>
        <w:rPr>
          <w:rFonts w:eastAsia="Times New Roman"/>
          <w:sz w:val="20"/>
          <w:szCs w:val="20"/>
        </w:rPr>
        <w:t xml:space="preserve"> 1996); </w:t>
      </w:r>
      <w:r>
        <w:rPr>
          <w:rFonts w:eastAsia="Times New Roman"/>
          <w:i/>
          <w:iCs/>
          <w:sz w:val="20"/>
          <w:szCs w:val="20"/>
        </w:rPr>
        <w:t>Strenge v. Bearman,</w:t>
      </w:r>
      <w:r>
        <w:rPr>
          <w:rFonts w:eastAsia="Times New Roman"/>
          <w:sz w:val="20"/>
          <w:szCs w:val="20"/>
        </w:rPr>
        <w:t xml:space="preserve"> 645 NYS2d 315 (2d Dept</w:t>
      </w:r>
      <w:r>
        <w:rPr>
          <w:rFonts w:eastAsia="Times New Roman"/>
          <w:i/>
          <w:iCs/>
          <w:sz w:val="20"/>
          <w:szCs w:val="20"/>
        </w:rPr>
        <w:t>.</w:t>
      </w:r>
      <w:r>
        <w:rPr>
          <w:rFonts w:eastAsia="Times New Roman"/>
          <w:sz w:val="20"/>
          <w:szCs w:val="20"/>
        </w:rPr>
        <w:t xml:space="preserve"> 1996).</w:t>
      </w:r>
    </w:p>
    <w:p w:rsidR="00000000" w:rsidRDefault="002E7E3E">
      <w:pPr>
        <w:ind w:left="720"/>
        <w:rPr>
          <w:rFonts w:eastAsia="Times New Roman"/>
        </w:rPr>
      </w:pPr>
      <w:r>
        <w:rPr>
          <w:rFonts w:eastAsia="Times New Roman"/>
          <w:sz w:val="20"/>
          <w:szCs w:val="20"/>
        </w:rPr>
        <w:t xml:space="preserve">(12) </w:t>
      </w:r>
      <w:r>
        <w:rPr>
          <w:rFonts w:eastAsia="Times New Roman"/>
          <w:i/>
          <w:iCs/>
          <w:sz w:val="20"/>
          <w:szCs w:val="20"/>
        </w:rPr>
        <w:t>Nichols v. Nichols</w:t>
      </w:r>
      <w:r>
        <w:rPr>
          <w:rFonts w:eastAsia="Times New Roman"/>
          <w:sz w:val="20"/>
          <w:szCs w:val="20"/>
        </w:rPr>
        <w:t xml:space="preserve"> (195</w:t>
      </w:r>
      <w:r>
        <w:rPr>
          <w:rFonts w:eastAsia="Times New Roman"/>
          <w:sz w:val="20"/>
          <w:szCs w:val="20"/>
        </w:rPr>
        <w:t xml:space="preserve">4) 306 NY 490, 119 NE2d 351. </w:t>
      </w:r>
      <w:r>
        <w:rPr>
          <w:rFonts w:eastAsia="Times New Roman"/>
          <w:i/>
          <w:iCs/>
          <w:sz w:val="20"/>
          <w:szCs w:val="20"/>
        </w:rPr>
        <w:t>Rehill v.</w:t>
      </w:r>
      <w:r>
        <w:rPr>
          <w:rFonts w:eastAsia="Times New Roman"/>
          <w:sz w:val="20"/>
          <w:szCs w:val="20"/>
        </w:rPr>
        <w:t xml:space="preserve"> </w:t>
      </w:r>
      <w:r>
        <w:rPr>
          <w:rFonts w:eastAsia="Times New Roman"/>
          <w:i/>
          <w:iCs/>
          <w:sz w:val="20"/>
          <w:szCs w:val="20"/>
        </w:rPr>
        <w:t>Rehill</w:t>
      </w:r>
      <w:r>
        <w:rPr>
          <w:rFonts w:eastAsia="Times New Roman"/>
          <w:sz w:val="20"/>
          <w:szCs w:val="20"/>
        </w:rPr>
        <w:t xml:space="preserve"> (1954) 306 NY 126, 116 NE2d 281. </w:t>
      </w:r>
      <w:r>
        <w:rPr>
          <w:rFonts w:eastAsia="Times New Roman"/>
          <w:i/>
          <w:iCs/>
          <w:sz w:val="20"/>
          <w:szCs w:val="20"/>
        </w:rPr>
        <w:t>Harwood v. Harwood</w:t>
      </w:r>
      <w:r>
        <w:rPr>
          <w:rFonts w:eastAsia="Times New Roman"/>
          <w:sz w:val="20"/>
          <w:szCs w:val="20"/>
        </w:rPr>
        <w:t xml:space="preserve"> (1944) 182 Misc 130, 49 NYS2d 727, affd 268 App Div 974, 52 NYS2d 573. </w:t>
      </w:r>
      <w:r>
        <w:rPr>
          <w:rFonts w:eastAsia="Times New Roman"/>
          <w:i/>
          <w:iCs/>
          <w:sz w:val="20"/>
          <w:szCs w:val="20"/>
        </w:rPr>
        <w:t>Cogswell v. Cogswell</w:t>
      </w:r>
      <w:r>
        <w:rPr>
          <w:rFonts w:eastAsia="Times New Roman"/>
          <w:sz w:val="20"/>
          <w:szCs w:val="20"/>
        </w:rPr>
        <w:t xml:space="preserve"> (1927) 130 Misc 541, 224 NYS 59.</w:t>
      </w:r>
    </w:p>
    <w:p w:rsidR="00000000" w:rsidRDefault="002E7E3E">
      <w:pPr>
        <w:ind w:left="720"/>
        <w:rPr>
          <w:rFonts w:eastAsia="Times New Roman"/>
        </w:rPr>
      </w:pPr>
      <w:r>
        <w:rPr>
          <w:rFonts w:eastAsia="Times New Roman"/>
          <w:sz w:val="20"/>
          <w:szCs w:val="20"/>
        </w:rPr>
        <w:t>(13) (1973, 2d Dept) 41 AD2d 676.</w:t>
      </w:r>
    </w:p>
    <w:p w:rsidR="00000000" w:rsidRDefault="002E7E3E">
      <w:pPr>
        <w:ind w:left="720"/>
        <w:rPr>
          <w:rFonts w:eastAsia="Times New Roman"/>
        </w:rPr>
      </w:pPr>
      <w:r>
        <w:rPr>
          <w:rFonts w:eastAsia="Times New Roman"/>
          <w:sz w:val="20"/>
          <w:szCs w:val="20"/>
        </w:rPr>
        <w:t xml:space="preserve">(14) </w:t>
      </w:r>
      <w:r>
        <w:rPr>
          <w:rFonts w:eastAsia="Times New Roman"/>
          <w:i/>
          <w:iCs/>
          <w:sz w:val="20"/>
          <w:szCs w:val="20"/>
        </w:rPr>
        <w:t>Rehill v. Rehill</w:t>
      </w:r>
      <w:r>
        <w:rPr>
          <w:rFonts w:eastAsia="Times New Roman"/>
          <w:sz w:val="20"/>
          <w:szCs w:val="20"/>
        </w:rPr>
        <w:t>, supra.</w:t>
      </w:r>
    </w:p>
    <w:p w:rsidR="00000000" w:rsidRDefault="002E7E3E">
      <w:pPr>
        <w:ind w:left="720"/>
        <w:rPr>
          <w:rFonts w:eastAsia="Times New Roman"/>
        </w:rPr>
      </w:pPr>
      <w:r>
        <w:rPr>
          <w:rFonts w:eastAsia="Times New Roman"/>
          <w:sz w:val="20"/>
          <w:szCs w:val="20"/>
        </w:rPr>
        <w:t xml:space="preserve">(15) </w:t>
      </w:r>
      <w:r>
        <w:rPr>
          <w:rFonts w:eastAsia="Times New Roman"/>
          <w:i/>
          <w:iCs/>
          <w:sz w:val="20"/>
          <w:szCs w:val="20"/>
        </w:rPr>
        <w:t>Harwood v. Harwood</w:t>
      </w:r>
      <w:r>
        <w:rPr>
          <w:rFonts w:eastAsia="Times New Roman"/>
          <w:sz w:val="20"/>
          <w:szCs w:val="20"/>
        </w:rPr>
        <w:t>, supra.</w:t>
      </w:r>
    </w:p>
    <w:p w:rsidR="00000000" w:rsidRDefault="002E7E3E">
      <w:pPr>
        <w:ind w:left="720"/>
        <w:rPr>
          <w:rFonts w:eastAsia="Times New Roman"/>
        </w:rPr>
      </w:pPr>
      <w:r>
        <w:rPr>
          <w:rFonts w:eastAsia="Times New Roman"/>
          <w:sz w:val="20"/>
          <w:szCs w:val="20"/>
        </w:rPr>
        <w:t xml:space="preserve">(16) </w:t>
      </w:r>
      <w:r>
        <w:rPr>
          <w:rFonts w:eastAsia="Times New Roman"/>
          <w:i/>
          <w:iCs/>
          <w:sz w:val="20"/>
          <w:szCs w:val="20"/>
        </w:rPr>
        <w:t>Nichols v. Nichols</w:t>
      </w:r>
      <w:r>
        <w:rPr>
          <w:rFonts w:eastAsia="Times New Roman"/>
          <w:sz w:val="20"/>
          <w:szCs w:val="20"/>
        </w:rPr>
        <w:t>, supra.</w:t>
      </w:r>
    </w:p>
    <w:p w:rsidR="00000000" w:rsidRDefault="002E7E3E">
      <w:pPr>
        <w:ind w:left="720"/>
        <w:rPr>
          <w:rFonts w:eastAsia="Times New Roman"/>
        </w:rPr>
      </w:pPr>
      <w:r>
        <w:rPr>
          <w:rFonts w:eastAsia="Times New Roman"/>
          <w:sz w:val="20"/>
          <w:szCs w:val="20"/>
        </w:rPr>
        <w:t xml:space="preserve">(17) </w:t>
      </w:r>
      <w:r>
        <w:rPr>
          <w:rFonts w:eastAsia="Times New Roman"/>
          <w:i/>
          <w:iCs/>
          <w:sz w:val="20"/>
          <w:szCs w:val="20"/>
        </w:rPr>
        <w:t>Olmstead v. Olmstead</w:t>
      </w:r>
      <w:r>
        <w:rPr>
          <w:rFonts w:eastAsia="Times New Roman"/>
          <w:sz w:val="20"/>
          <w:szCs w:val="20"/>
        </w:rPr>
        <w:t xml:space="preserve"> (1965, 2d Dept.) 24 AD2d 605, affd 18 NY2d 652.</w:t>
      </w:r>
    </w:p>
    <w:p w:rsidR="00000000" w:rsidRDefault="002E7E3E">
      <w:pPr>
        <w:ind w:left="720"/>
        <w:rPr>
          <w:rFonts w:eastAsia="Times New Roman"/>
        </w:rPr>
      </w:pPr>
      <w:r>
        <w:rPr>
          <w:rFonts w:eastAsia="Times New Roman"/>
          <w:sz w:val="20"/>
          <w:szCs w:val="20"/>
        </w:rPr>
        <w:t xml:space="preserve">(18) </w:t>
      </w:r>
      <w:r>
        <w:rPr>
          <w:rFonts w:eastAsia="Times New Roman"/>
          <w:i/>
          <w:iCs/>
          <w:sz w:val="20"/>
          <w:szCs w:val="20"/>
        </w:rPr>
        <w:t>Weber v. Weber</w:t>
      </w:r>
      <w:r>
        <w:rPr>
          <w:rFonts w:eastAsia="Times New Roman"/>
          <w:sz w:val="20"/>
          <w:szCs w:val="20"/>
        </w:rPr>
        <w:t xml:space="preserve"> (1966) 51 Misc2d 1042.</w:t>
      </w:r>
    </w:p>
    <w:p w:rsidR="00000000" w:rsidRDefault="002E7E3E">
      <w:pPr>
        <w:ind w:left="720"/>
        <w:rPr>
          <w:rFonts w:eastAsia="Times New Roman"/>
        </w:rPr>
      </w:pPr>
      <w:r>
        <w:rPr>
          <w:rFonts w:eastAsia="Times New Roman"/>
          <w:sz w:val="20"/>
          <w:szCs w:val="20"/>
        </w:rPr>
        <w:t xml:space="preserve">(19) </w:t>
      </w:r>
      <w:r>
        <w:rPr>
          <w:rFonts w:eastAsia="Times New Roman"/>
          <w:i/>
          <w:iCs/>
          <w:sz w:val="20"/>
          <w:szCs w:val="20"/>
        </w:rPr>
        <w:t xml:space="preserve">M. v. M. </w:t>
      </w:r>
      <w:r>
        <w:rPr>
          <w:rFonts w:eastAsia="Times New Roman"/>
          <w:sz w:val="20"/>
          <w:szCs w:val="20"/>
        </w:rPr>
        <w:t xml:space="preserve">(1977) 90 Misc2d 974. </w:t>
      </w:r>
      <w:r>
        <w:rPr>
          <w:rFonts w:eastAsia="Times New Roman"/>
          <w:i/>
          <w:iCs/>
          <w:sz w:val="20"/>
          <w:szCs w:val="20"/>
        </w:rPr>
        <w:t xml:space="preserve">Harwood </w:t>
      </w:r>
      <w:r>
        <w:rPr>
          <w:rFonts w:eastAsia="Times New Roman"/>
          <w:i/>
          <w:iCs/>
          <w:sz w:val="20"/>
          <w:szCs w:val="20"/>
        </w:rPr>
        <w:t>v. Harwood</w:t>
      </w:r>
      <w:r>
        <w:rPr>
          <w:rFonts w:eastAsia="Times New Roman"/>
          <w:sz w:val="20"/>
          <w:szCs w:val="20"/>
        </w:rPr>
        <w:t>, supra.</w:t>
      </w:r>
    </w:p>
    <w:p w:rsidR="00000000" w:rsidRDefault="002E7E3E">
      <w:pPr>
        <w:ind w:left="720"/>
        <w:rPr>
          <w:rFonts w:eastAsia="Times New Roman"/>
        </w:rPr>
      </w:pPr>
      <w:r>
        <w:rPr>
          <w:rFonts w:eastAsia="Times New Roman"/>
          <w:sz w:val="20"/>
          <w:szCs w:val="20"/>
        </w:rPr>
        <w:t xml:space="preserve">(20) </w:t>
      </w:r>
      <w:r>
        <w:rPr>
          <w:rFonts w:eastAsia="Times New Roman"/>
          <w:i/>
          <w:iCs/>
          <w:sz w:val="20"/>
          <w:szCs w:val="20"/>
        </w:rPr>
        <w:t>Harwood v. Harwood</w:t>
      </w:r>
      <w:r>
        <w:rPr>
          <w:rFonts w:eastAsia="Times New Roman"/>
          <w:sz w:val="20"/>
          <w:szCs w:val="20"/>
        </w:rPr>
        <w:t xml:space="preserve">, supra. </w:t>
      </w:r>
      <w:r>
        <w:rPr>
          <w:rFonts w:eastAsia="Times New Roman"/>
          <w:i/>
          <w:iCs/>
          <w:sz w:val="20"/>
          <w:szCs w:val="20"/>
        </w:rPr>
        <w:t>Ziluck v. Ziluck</w:t>
      </w:r>
      <w:r>
        <w:rPr>
          <w:rFonts w:eastAsia="Times New Roman"/>
          <w:sz w:val="20"/>
          <w:szCs w:val="20"/>
        </w:rPr>
        <w:t xml:space="preserve"> (1960) 23 Misc2d 323, revd on other grounds (1st Dept.) 12 AD2d 764).</w:t>
      </w:r>
    </w:p>
    <w:p w:rsidR="00000000" w:rsidRDefault="002E7E3E">
      <w:pPr>
        <w:ind w:left="720"/>
        <w:rPr>
          <w:rFonts w:eastAsia="Times New Roman"/>
        </w:rPr>
      </w:pPr>
      <w:r>
        <w:rPr>
          <w:rFonts w:eastAsia="Times New Roman"/>
          <w:sz w:val="20"/>
          <w:szCs w:val="20"/>
        </w:rPr>
        <w:t>(21) Supra.</w:t>
      </w:r>
    </w:p>
    <w:p w:rsidR="00000000" w:rsidRDefault="002E7E3E">
      <w:pPr>
        <w:ind w:left="720"/>
        <w:rPr>
          <w:rFonts w:eastAsia="Times New Roman"/>
        </w:rPr>
      </w:pPr>
      <w:r>
        <w:rPr>
          <w:rFonts w:eastAsia="Times New Roman"/>
          <w:sz w:val="20"/>
          <w:szCs w:val="20"/>
        </w:rPr>
        <w:t>(22) 301 N.Y. 127.</w:t>
      </w:r>
    </w:p>
    <w:p w:rsidR="00000000" w:rsidRDefault="002E7E3E">
      <w:pPr>
        <w:ind w:left="720"/>
        <w:rPr>
          <w:rFonts w:eastAsia="Times New Roman"/>
        </w:rPr>
      </w:pPr>
      <w:r>
        <w:rPr>
          <w:rFonts w:eastAsia="Times New Roman"/>
          <w:sz w:val="20"/>
          <w:szCs w:val="20"/>
        </w:rPr>
        <w:t>(23) 67 NY2d 359.</w:t>
      </w:r>
    </w:p>
    <w:p w:rsidR="00000000" w:rsidRDefault="002E7E3E">
      <w:pPr>
        <w:ind w:left="720"/>
        <w:rPr>
          <w:rFonts w:eastAsia="Times New Roman"/>
        </w:rPr>
      </w:pPr>
      <w:r>
        <w:rPr>
          <w:rFonts w:eastAsia="Times New Roman"/>
        </w:rPr>
        <w:t>*********</w:t>
      </w:r>
    </w:p>
    <w:p w:rsidR="00000000" w:rsidRDefault="002E7E3E">
      <w:pPr>
        <w:rPr>
          <w:rFonts w:eastAsia="Times New Roman"/>
        </w:rPr>
      </w:pPr>
      <w:r>
        <w:rPr>
          <w:rFonts w:eastAsia="Times New Roman"/>
        </w:rPr>
        <w:pict>
          <v:rect id="_x0000_i1025" style="width:0;height:1.5pt" o:hralign="center" o:hrstd="t" o:hr="t" fillcolor="#a0a0a0" stroked="f"/>
        </w:pict>
      </w:r>
    </w:p>
    <w:p w:rsidR="00000000" w:rsidRDefault="002E7E3E">
      <w:pPr>
        <w:pStyle w:val="NormalWeb"/>
        <w:rPr>
          <w:i/>
          <w:iCs/>
        </w:rPr>
      </w:pPr>
      <w:r>
        <w:rPr>
          <w:b/>
          <w:bCs/>
        </w:rPr>
        <w:t xml:space="preserve">Joel R. Brandes </w:t>
      </w:r>
      <w:r>
        <w:rPr>
          <w:i/>
          <w:iCs/>
        </w:rPr>
        <w:t xml:space="preserve">has law offices in Garden City and New York City. He co-authored the nine-volume </w:t>
      </w:r>
      <w:r>
        <w:t xml:space="preserve">Law and the Family New York </w:t>
      </w:r>
      <w:r>
        <w:rPr>
          <w:i/>
          <w:iCs/>
        </w:rPr>
        <w:t xml:space="preserve">and </w:t>
      </w:r>
      <w:r>
        <w:t xml:space="preserve">Law and the Family New York Forms </w:t>
      </w:r>
      <w:r>
        <w:rPr>
          <w:i/>
          <w:iCs/>
        </w:rPr>
        <w:t>(both, published by Westgroup).</w:t>
      </w:r>
    </w:p>
    <w:p w:rsidR="00000000" w:rsidRDefault="002E7E3E">
      <w:pPr>
        <w:rPr>
          <w:rFonts w:eastAsia="Times New Roman"/>
        </w:rPr>
      </w:pPr>
      <w:r>
        <w:rPr>
          <w:rFonts w:eastAsia="Times New Roman"/>
        </w:rPr>
        <w:pict>
          <v:rect id="_x0000_i1026" style="width:0;height:1.5pt"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E7E3E"/>
    <w:rsid w:val="002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84071C-D40A-4C6E-AD8E-22A49874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09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774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2180</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Termination of Child Support Agreements. New York Divorce and Family Law, the definitive site about divorce, child support and custody.</vt:lpstr>
    </vt:vector>
  </TitlesOfParts>
  <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Child Support Agreements. New York Divorce and Family Law, the definitive site about divorce, child support and custody.</dc:title>
  <dc:subject/>
  <dc:creator>Joel Brandes</dc:creator>
  <cp:keywords/>
  <dc:description/>
  <cp:lastModifiedBy>Joel Brandes</cp:lastModifiedBy>
  <cp:revision>2</cp:revision>
  <dcterms:created xsi:type="dcterms:W3CDTF">2016-07-15T03:00:00Z</dcterms:created>
  <dcterms:modified xsi:type="dcterms:W3CDTF">2016-07-15T03:00:00Z</dcterms:modified>
</cp:coreProperties>
</file>