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84936">
      <w:pPr>
        <w:rPr>
          <w:rFonts w:eastAsia="Times New Roman"/>
        </w:rPr>
      </w:pPr>
      <w:r>
        <w:rPr>
          <w:rFonts w:eastAsia="Times New Roman"/>
        </w:rPr>
        <w:t> </w:t>
      </w:r>
      <w:bookmarkStart w:id="0" w:name="_GoBack"/>
      <w:bookmarkEnd w:id="0"/>
    </w:p>
    <w:p w:rsidR="00000000" w:rsidRDefault="00F84936">
      <w:pPr>
        <w:ind w:left="720"/>
        <w:divId w:val="15743036"/>
        <w:rPr>
          <w:rFonts w:eastAsia="Times New Roman"/>
        </w:rPr>
      </w:pPr>
      <w:r>
        <w:rPr>
          <w:rFonts w:eastAsia="Times New Roman"/>
        </w:rPr>
        <w:t> </w:t>
      </w:r>
    </w:p>
    <w:p w:rsidR="00000000" w:rsidRDefault="00F84936">
      <w:pPr>
        <w:divId w:val="15743036"/>
        <w:rPr>
          <w:rFonts w:eastAsia="Times New Roman"/>
        </w:rPr>
      </w:pPr>
      <w:r>
        <w:rPr>
          <w:rFonts w:eastAsia="Times New Roman"/>
        </w:rPr>
        <w:pict>
          <v:rect id="_x0000_i1025" style="width:0;height:1.5pt" o:hralign="center" o:hrstd="t" o:hr="t" fillcolor="#a0a0a0" stroked="f"/>
        </w:pict>
      </w:r>
    </w:p>
    <w:p w:rsidR="00000000" w:rsidRDefault="00F84936">
      <w:pPr>
        <w:pStyle w:val="NormalWeb"/>
        <w:divId w:val="1180580938"/>
      </w:pPr>
      <w:r>
        <w:t>LAW AND THE FAMILY</w:t>
      </w:r>
    </w:p>
    <w:p w:rsidR="00000000" w:rsidRDefault="00F84936">
      <w:pPr>
        <w:pStyle w:val="Heading2"/>
        <w:divId w:val="1180580938"/>
        <w:rPr>
          <w:rFonts w:eastAsia="Times New Roman"/>
        </w:rPr>
      </w:pPr>
      <w:r>
        <w:rPr>
          <w:rFonts w:eastAsia="Times New Roman"/>
        </w:rPr>
        <w:t>Support Awards: 'Cassano' Revisited</w:t>
      </w:r>
    </w:p>
    <w:p w:rsidR="00000000" w:rsidRDefault="00F84936">
      <w:pPr>
        <w:pStyle w:val="NormalWeb"/>
        <w:divId w:val="1180580938"/>
      </w:pPr>
      <w:r>
        <w:t>Joel R. Brandes</w:t>
      </w:r>
    </w:p>
    <w:p w:rsidR="00000000" w:rsidRDefault="00F84936">
      <w:pPr>
        <w:pStyle w:val="NormalWeb"/>
        <w:divId w:val="1180580938"/>
      </w:pPr>
      <w:hyperlink r:id="rId4" w:history="1">
        <w:r>
          <w:rPr>
            <w:rStyle w:val="Hyperlink"/>
          </w:rPr>
          <w:t>New York Law Journal</w:t>
        </w:r>
      </w:hyperlink>
      <w:r>
        <w:br/>
        <w:t>May 25, 1999</w:t>
      </w:r>
    </w:p>
    <w:p w:rsidR="00000000" w:rsidRDefault="00F84936">
      <w:pPr>
        <w:pStyle w:val="NormalWeb"/>
        <w:divId w:val="1180580938"/>
      </w:pPr>
      <w:r>
        <w:rPr>
          <w:sz w:val="72"/>
          <w:szCs w:val="72"/>
        </w:rPr>
        <w:t>S</w:t>
      </w:r>
      <w:r>
        <w:t>OON AFTER the enactment of the Child Support Standards Act (CSSA), child supp</w:t>
      </w:r>
      <w:r>
        <w:t xml:space="preserve">ort awards, in cases where the combined parental income was in excess of $80,000, were limited by the "blind application rule" espoused in </w:t>
      </w:r>
      <w:r>
        <w:rPr>
          <w:i/>
          <w:iCs/>
        </w:rPr>
        <w:t>Chasin v. Chasin</w:t>
      </w:r>
      <w:r>
        <w:t>.</w:t>
      </w:r>
      <w:hyperlink w:anchor="bottom" w:history="1">
        <w:r>
          <w:rPr>
            <w:rStyle w:val="Hyperlink"/>
          </w:rPr>
          <w:t>1</w:t>
        </w:r>
      </w:hyperlink>
      <w:r>
        <w:t xml:space="preserve"> This rule prohibited the automatic application of the statutory formu</w:t>
      </w:r>
      <w:r>
        <w:t>la to combined parental income in excess of $80,000, absent a showing of the child's actual needs. The court reasoned that its failure to require such a showing would constitute an abdication of its judicial responsibility</w:t>
      </w:r>
      <w:r>
        <w:t>.</w:t>
      </w:r>
    </w:p>
    <w:p w:rsidR="00000000" w:rsidRDefault="00F84936">
      <w:pPr>
        <w:ind w:left="720"/>
        <w:divId w:val="1180580938"/>
        <w:rPr>
          <w:rFonts w:eastAsia="Times New Roman"/>
        </w:rPr>
      </w:pPr>
      <w:r>
        <w:rPr>
          <w:rFonts w:eastAsia="Times New Roman"/>
        </w:rPr>
        <w:t>The Court of Appeals seemed to r</w:t>
      </w:r>
      <w:r>
        <w:rPr>
          <w:rFonts w:eastAsia="Times New Roman"/>
        </w:rPr>
        <w:t xml:space="preserve">eject the "blind application" rule in </w:t>
      </w:r>
      <w:r>
        <w:rPr>
          <w:rFonts w:eastAsia="Times New Roman"/>
          <w:i/>
          <w:iCs/>
        </w:rPr>
        <w:t>Cassano v. Cassano</w:t>
      </w:r>
      <w:r>
        <w:rPr>
          <w:rFonts w:eastAsia="Times New Roman"/>
        </w:rPr>
        <w:t xml:space="preserve"> </w:t>
      </w:r>
      <w:hyperlink w:anchor="bottom" w:history="1">
        <w:r>
          <w:rPr>
            <w:rStyle w:val="Hyperlink"/>
            <w:rFonts w:eastAsia="Times New Roman"/>
          </w:rPr>
          <w:t>2</w:t>
        </w:r>
      </w:hyperlink>
      <w:r>
        <w:rPr>
          <w:rFonts w:eastAsia="Times New Roman"/>
        </w:rPr>
        <w:t xml:space="preserve"> when it held that under the facts of that case, absent extraordinary circumstances, the child support percentage </w:t>
      </w:r>
      <w:r>
        <w:rPr>
          <w:rFonts w:eastAsia="Times New Roman"/>
          <w:i/>
          <w:iCs/>
        </w:rPr>
        <w:t>should</w:t>
      </w:r>
      <w:r>
        <w:rPr>
          <w:rFonts w:eastAsia="Times New Roman"/>
        </w:rPr>
        <w:t xml:space="preserve"> be applied to the combined parental income in ex</w:t>
      </w:r>
      <w:r>
        <w:rPr>
          <w:rFonts w:eastAsia="Times New Roman"/>
        </w:rPr>
        <w:t>cess of $80,000. Or did it?</w:t>
      </w:r>
    </w:p>
    <w:p w:rsidR="00000000" w:rsidRDefault="00F84936">
      <w:pPr>
        <w:ind w:left="720"/>
        <w:divId w:val="1180580938"/>
        <w:rPr>
          <w:rFonts w:eastAsia="Times New Roman"/>
        </w:rPr>
      </w:pPr>
      <w:r>
        <w:rPr>
          <w:rFonts w:eastAsia="Times New Roman"/>
        </w:rPr>
        <w:t xml:space="preserve">A "three step method" for determining the "basic child support obligation" was outlined </w:t>
      </w:r>
      <w:r>
        <w:rPr>
          <w:rFonts w:eastAsia="Times New Roman"/>
          <w:i/>
          <w:iCs/>
        </w:rPr>
        <w:t>Cassano v. Cassano</w:t>
      </w:r>
      <w:r>
        <w:rPr>
          <w:rFonts w:eastAsia="Times New Roman"/>
        </w:rPr>
        <w:t>:</w:t>
      </w:r>
    </w:p>
    <w:p w:rsidR="00000000" w:rsidRDefault="00F84936">
      <w:pPr>
        <w:pStyle w:val="NormalWeb"/>
        <w:divId w:val="202642952"/>
      </w:pPr>
      <w:r>
        <w:t xml:space="preserve">[S]tep one of the three step method is the court's calculation of the "combined parental income" .... Second, the court </w:t>
      </w:r>
      <w:r>
        <w:t>multiplies that figure, up to $80,000, by a specified percentage based upon the number of children in the household -- 17 percent for one child -- and then allocates that amount between the parents according to their share of the total income ...</w:t>
      </w:r>
      <w:r>
        <w:t>.</w:t>
      </w:r>
    </w:p>
    <w:p w:rsidR="00000000" w:rsidRDefault="00F84936">
      <w:pPr>
        <w:ind w:left="720"/>
        <w:divId w:val="1180580938"/>
        <w:rPr>
          <w:rFonts w:eastAsia="Times New Roman"/>
        </w:rPr>
      </w:pPr>
      <w:r>
        <w:rPr>
          <w:rFonts w:eastAsia="Times New Roman"/>
        </w:rPr>
        <w:t>Third, w</w:t>
      </w:r>
      <w:r>
        <w:rPr>
          <w:rFonts w:eastAsia="Times New Roman"/>
        </w:rPr>
        <w:t xml:space="preserve">here the combined parental income exceeds $80,000 ... the statute provides that "the court shall </w:t>
      </w:r>
      <w:r>
        <w:rPr>
          <w:rFonts w:eastAsia="Times New Roman"/>
        </w:rPr>
        <w:lastRenderedPageBreak/>
        <w:t>determine the amount of child support for the amount of the combined parental income in excess of such dollar amount through consideration of the factors set f</w:t>
      </w:r>
      <w:r>
        <w:rPr>
          <w:rFonts w:eastAsia="Times New Roman"/>
        </w:rPr>
        <w:t>orth in paragraph (f) of this subdivision and/or the child support percentage" ....</w:t>
      </w:r>
    </w:p>
    <w:p w:rsidR="00000000" w:rsidRDefault="00F84936">
      <w:pPr>
        <w:ind w:left="720"/>
        <w:divId w:val="1180580938"/>
        <w:rPr>
          <w:rFonts w:eastAsia="Times New Roman"/>
        </w:rPr>
      </w:pPr>
      <w:r>
        <w:rPr>
          <w:rFonts w:eastAsia="Times New Roman"/>
        </w:rPr>
        <w:t>After completing this three step statutory formula, under the CSSA the trial court must then order the non custodial parent to pay a pro rata share of the basic child suppo</w:t>
      </w:r>
      <w:r>
        <w:rPr>
          <w:rFonts w:eastAsia="Times New Roman"/>
        </w:rPr>
        <w:t>rt obligation, unless it finds that amount to be "unjust or inappropriate" based on a consideration of the "paragraph (f)" factors (Domestic Relations Law §240[1 b][f]). ...</w:t>
      </w:r>
    </w:p>
    <w:p w:rsidR="00000000" w:rsidRDefault="00F84936">
      <w:pPr>
        <w:ind w:left="720"/>
        <w:divId w:val="1180580938"/>
        <w:rPr>
          <w:rFonts w:eastAsia="Times New Roman"/>
        </w:rPr>
      </w:pPr>
      <w:r>
        <w:rPr>
          <w:rFonts w:eastAsia="Times New Roman"/>
        </w:rPr>
        <w:t xml:space="preserve">Where the court finds the amount derived from the three step statutory formula to </w:t>
      </w:r>
      <w:r>
        <w:rPr>
          <w:rFonts w:eastAsia="Times New Roman"/>
        </w:rPr>
        <w:t>be "unjust or inappropriate," it must order payment of an amount that is just and appropriate (</w:t>
      </w:r>
      <w:r>
        <w:rPr>
          <w:rFonts w:eastAsia="Times New Roman"/>
          <w:i/>
          <w:iCs/>
        </w:rPr>
        <w:t>Domestic Relations Law §240</w:t>
      </w:r>
      <w:r>
        <w:rPr>
          <w:rFonts w:eastAsia="Times New Roman"/>
        </w:rPr>
        <w:t>[1 b][g]).</w:t>
      </w:r>
    </w:p>
    <w:p w:rsidR="00000000" w:rsidRDefault="00F84936">
      <w:pPr>
        <w:pStyle w:val="NormalWeb"/>
        <w:divId w:val="15743036"/>
      </w:pPr>
      <w:r>
        <w:t xml:space="preserve">In </w:t>
      </w:r>
      <w:r>
        <w:rPr>
          <w:i/>
          <w:iCs/>
        </w:rPr>
        <w:t>Cassano</w:t>
      </w:r>
      <w:r>
        <w:t xml:space="preserve"> the Court of Appeals stated that the purpose of the CSSA is to replace " ... a needs-based discretionary system </w:t>
      </w:r>
      <w:r>
        <w:t>with a precisely articulated, three-step method for determining child support," and that the enactment of the statute "signalled a new era in calculating child support awards." The emphasis changed, "from a balancing of the expressed needs of the child and</w:t>
      </w:r>
      <w:r>
        <w:t xml:space="preserve"> the income available to the parents after expenses to the total income available to the parents and the standard of living that should be shared with the child."</w:t>
      </w:r>
      <w:r>
        <w:t xml:space="preserve"> </w:t>
      </w:r>
    </w:p>
    <w:p w:rsidR="00000000" w:rsidRDefault="00F84936">
      <w:pPr>
        <w:ind w:left="720"/>
        <w:divId w:val="15743036"/>
        <w:rPr>
          <w:rFonts w:eastAsia="Times New Roman"/>
          <w:i/>
          <w:iCs/>
        </w:rPr>
      </w:pPr>
      <w:r>
        <w:rPr>
          <w:rFonts w:eastAsia="Times New Roman"/>
        </w:rPr>
        <w:t>The Court held that the provision allowing the court to disregard the formula, if its applic</w:t>
      </w:r>
      <w:r>
        <w:rPr>
          <w:rFonts w:eastAsia="Times New Roman"/>
        </w:rPr>
        <w:t>ation would be "unjust and inappropriate," was pertinent to income over $80,000 as well as under $80,000. It noted that if the court disregards the formula, the reasons must be set forth in a formal written order, which cannot be waived by either party. It</w:t>
      </w:r>
      <w:r>
        <w:rPr>
          <w:rFonts w:eastAsia="Times New Roman"/>
        </w:rPr>
        <w:t xml:space="preserve"> stated that courts have the discretion to apply the "paragraph (f)" factors, or to apply the statutory percentages, or to apply both in fixing the basic child support obligation on parental income over $80,000. The Court's discretion is subject to review </w:t>
      </w:r>
      <w:r>
        <w:rPr>
          <w:rFonts w:eastAsia="Times New Roman"/>
        </w:rPr>
        <w:t>for abuse, and some record articulating the reasons for the Court's choice to apply the percentage to the combined parental income over $80,000 is necessary to facilitate that review.</w:t>
      </w:r>
      <w:r>
        <w:rPr>
          <w:rFonts w:eastAsia="Times New Roman"/>
          <w:i/>
          <w:iCs/>
        </w:rPr>
        <w:t xml:space="preserve"> </w:t>
      </w:r>
    </w:p>
    <w:p w:rsidR="00000000" w:rsidRDefault="00F84936">
      <w:pPr>
        <w:ind w:left="720"/>
        <w:divId w:val="15743036"/>
        <w:rPr>
          <w:rFonts w:eastAsia="Times New Roman"/>
        </w:rPr>
      </w:pPr>
      <w:r>
        <w:rPr>
          <w:rFonts w:eastAsia="Times New Roman"/>
          <w:i/>
          <w:iCs/>
        </w:rPr>
        <w:t>Cassano</w:t>
      </w:r>
      <w:r>
        <w:rPr>
          <w:rFonts w:eastAsia="Times New Roman"/>
        </w:rPr>
        <w:t xml:space="preserve"> was first followed in</w:t>
      </w:r>
      <w:r>
        <w:rPr>
          <w:rFonts w:eastAsia="Times New Roman"/>
          <w:i/>
          <w:iCs/>
        </w:rPr>
        <w:t xml:space="preserve"> Jones v. Reese</w:t>
      </w:r>
      <w:r>
        <w:rPr>
          <w:rFonts w:eastAsia="Times New Roman"/>
        </w:rPr>
        <w:t>,</w:t>
      </w:r>
      <w:hyperlink w:anchor="bottom" w:history="1">
        <w:r>
          <w:rPr>
            <w:rStyle w:val="Hyperlink"/>
            <w:rFonts w:eastAsia="Times New Roman"/>
          </w:rPr>
          <w:t>3</w:t>
        </w:r>
      </w:hyperlink>
      <w:r>
        <w:rPr>
          <w:rFonts w:eastAsia="Times New Roman"/>
        </w:rPr>
        <w:t xml:space="preserve"> where the Third Department held that Family Court did not err in fixing child support for the parties' infant son at $3,532 a month, based on the combined parental income of both parties exceeding $80,000. The petitioner earned $22,370 per year and th</w:t>
      </w:r>
      <w:r>
        <w:rPr>
          <w:rFonts w:eastAsia="Times New Roman"/>
        </w:rPr>
        <w:t xml:space="preserve">e respondent, a physician, earned $293,182 per year. The Appellate Division held that </w:t>
      </w:r>
      <w:r>
        <w:rPr>
          <w:rFonts w:eastAsia="Times New Roman"/>
          <w:i/>
          <w:iCs/>
        </w:rPr>
        <w:t>Cassano</w:t>
      </w:r>
      <w:r>
        <w:rPr>
          <w:rFonts w:eastAsia="Times New Roman"/>
        </w:rPr>
        <w:t xml:space="preserve"> requires that the application of the CSSA percentage in computing the award of child support under FCA 413[1][f] must be based on the combined income of the paren</w:t>
      </w:r>
      <w:r>
        <w:rPr>
          <w:rFonts w:eastAsia="Times New Roman"/>
        </w:rPr>
        <w:t>ts, not the needs of the child.</w:t>
      </w:r>
    </w:p>
    <w:p w:rsidR="00000000" w:rsidRDefault="00F84936">
      <w:pPr>
        <w:ind w:left="720"/>
        <w:divId w:val="15743036"/>
        <w:rPr>
          <w:rFonts w:eastAsia="Times New Roman"/>
        </w:rPr>
      </w:pPr>
      <w:r>
        <w:rPr>
          <w:rFonts w:eastAsia="Times New Roman"/>
        </w:rPr>
        <w:t xml:space="preserve">Recently, in </w:t>
      </w:r>
      <w:r>
        <w:rPr>
          <w:rFonts w:eastAsia="Times New Roman"/>
          <w:i/>
          <w:iCs/>
        </w:rPr>
        <w:t>Glucman v. Qua</w:t>
      </w:r>
      <w:r>
        <w:rPr>
          <w:rFonts w:eastAsia="Times New Roman"/>
        </w:rPr>
        <w:t>,</w:t>
      </w:r>
      <w:hyperlink w:anchor="bottom" w:history="1">
        <w:r>
          <w:rPr>
            <w:rStyle w:val="Hyperlink"/>
            <w:rFonts w:eastAsia="Times New Roman"/>
          </w:rPr>
          <w:t>4</w:t>
        </w:r>
      </w:hyperlink>
      <w:r>
        <w:rPr>
          <w:rFonts w:eastAsia="Times New Roman"/>
        </w:rPr>
        <w:t xml:space="preserve"> the Third Department held that the "blind application" rule was consistent with </w:t>
      </w:r>
      <w:r>
        <w:rPr>
          <w:rFonts w:eastAsia="Times New Roman"/>
          <w:i/>
          <w:iCs/>
        </w:rPr>
        <w:t>Cassano</w:t>
      </w:r>
      <w:r>
        <w:rPr>
          <w:rFonts w:eastAsia="Times New Roman"/>
        </w:rPr>
        <w:t xml:space="preserve">. It concluded that although </w:t>
      </w:r>
      <w:r>
        <w:rPr>
          <w:rFonts w:eastAsia="Times New Roman"/>
        </w:rPr>
        <w:lastRenderedPageBreak/>
        <w:t>a court is not permitted to make an award based s</w:t>
      </w:r>
      <w:r>
        <w:rPr>
          <w:rFonts w:eastAsia="Times New Roman"/>
        </w:rPr>
        <w:t>olely on the children's actual needs, such is an appropriate factor to be considered when determining an award of child support on income in excess of $80,000.</w:t>
      </w:r>
    </w:p>
    <w:p w:rsidR="00000000" w:rsidRDefault="00F84936">
      <w:pPr>
        <w:ind w:left="720"/>
        <w:divId w:val="15743036"/>
        <w:rPr>
          <w:rFonts w:eastAsia="Times New Roman"/>
        </w:rPr>
      </w:pPr>
      <w:r>
        <w:rPr>
          <w:rFonts w:eastAsia="Times New Roman"/>
        </w:rPr>
        <w:t>The parties' two-year marriage ended in divorce in December 1985. Their two children resided wit</w:t>
      </w:r>
      <w:r>
        <w:rPr>
          <w:rFonts w:eastAsia="Times New Roman"/>
        </w:rPr>
        <w:t>h petitioner. Respondent initially paid child support of $100 a week. In December 1990 petitioner obtained an upward modification to $210 per week. In April 1996 another petition for upward modification was filed, alleging a change of circumstances in that</w:t>
      </w:r>
      <w:r>
        <w:rPr>
          <w:rFonts w:eastAsia="Times New Roman"/>
        </w:rPr>
        <w:t xml:space="preserve"> respondent's income had increased; there had been a substantial increase in the children's expenses; and that petitioner had lost her part-time job. Respondent's income had increased from $43,088 in 1990 to $260,221 in 1995, as a result of his success as </w:t>
      </w:r>
      <w:r>
        <w:rPr>
          <w:rFonts w:eastAsia="Times New Roman"/>
        </w:rPr>
        <w:t>a restaurateur.</w:t>
      </w:r>
    </w:p>
    <w:p w:rsidR="00000000" w:rsidRDefault="00F84936">
      <w:pPr>
        <w:ind w:left="720"/>
        <w:divId w:val="15743036"/>
        <w:rPr>
          <w:rFonts w:eastAsia="Times New Roman"/>
        </w:rPr>
      </w:pPr>
      <w:r>
        <w:rPr>
          <w:rFonts w:eastAsia="Times New Roman"/>
        </w:rPr>
        <w:t>Petitioner's application was first denied by the Hearing Examiner, "for failure of proof" after a hearing. The Hearing Examiner concluded that petitioner's expenses had decreased between 1990 and 1996, that she had voluntarily reduced her i</w:t>
      </w:r>
      <w:r>
        <w:rPr>
          <w:rFonts w:eastAsia="Times New Roman"/>
        </w:rPr>
        <w:t>ncome by failing to reapply for the part-time job, and that she was able to meet the children's needs. The Hearing Examiner declined to find that the increase in respondent's income was adequate basis upon which to modify his child support obligation. Peti</w:t>
      </w:r>
      <w:r>
        <w:rPr>
          <w:rFonts w:eastAsia="Times New Roman"/>
        </w:rPr>
        <w:t xml:space="preserve">tioner filed objections with Family Court, which remitted the matter to the Hearing Examiner to calculate the parties' combined parental income and to reconsider whether child support should be modified pursuant to </w:t>
      </w:r>
      <w:r>
        <w:rPr>
          <w:rFonts w:eastAsia="Times New Roman"/>
          <w:i/>
          <w:iCs/>
        </w:rPr>
        <w:t>Cassano</w:t>
      </w:r>
      <w:r>
        <w:rPr>
          <w:rFonts w:eastAsia="Times New Roman"/>
        </w:rPr>
        <w:t xml:space="preserve"> and </w:t>
      </w:r>
      <w:r>
        <w:rPr>
          <w:rFonts w:eastAsia="Times New Roman"/>
          <w:i/>
          <w:iCs/>
        </w:rPr>
        <w:t>Jones v. Reese</w:t>
      </w:r>
      <w:r>
        <w:rPr>
          <w:rFonts w:eastAsia="Times New Roman"/>
        </w:rPr>
        <w:t>.</w:t>
      </w:r>
    </w:p>
    <w:p w:rsidR="00000000" w:rsidRDefault="00F84936">
      <w:pPr>
        <w:ind w:left="720"/>
        <w:divId w:val="15743036"/>
        <w:rPr>
          <w:rFonts w:eastAsia="Times New Roman"/>
        </w:rPr>
      </w:pPr>
      <w:r>
        <w:rPr>
          <w:rFonts w:eastAsia="Times New Roman"/>
        </w:rPr>
        <w:t>The Hearing E</w:t>
      </w:r>
      <w:r>
        <w:rPr>
          <w:rFonts w:eastAsia="Times New Roman"/>
        </w:rPr>
        <w:t>xaminer then determined that the parties' combined parental income was $288,650.89, calculating the annual incomes of petitioner and respondent at $28,429 and $260,221 respectively. The Hearing Examiner again noted that petitioner's expenses had actually d</w:t>
      </w:r>
      <w:r>
        <w:rPr>
          <w:rFonts w:eastAsia="Times New Roman"/>
        </w:rPr>
        <w:t>ecreased and that the children's needs were being met, but determined that an upward modification was warranted in view of the dramatic increase in respondent's income. She then applied the appropriate child support percentage [25 percent] to all income, i</w:t>
      </w:r>
      <w:r>
        <w:rPr>
          <w:rFonts w:eastAsia="Times New Roman"/>
        </w:rPr>
        <w:t>ncluding income in excess of $80,000, on the ground that there was no proof offered as to why the Court should vary from the formula. This resulted in a $65,052 annual child support obligation.</w:t>
      </w:r>
    </w:p>
    <w:p w:rsidR="00000000" w:rsidRDefault="00F84936">
      <w:pPr>
        <w:ind w:left="720"/>
        <w:divId w:val="15743036"/>
        <w:rPr>
          <w:rFonts w:eastAsia="Times New Roman"/>
        </w:rPr>
      </w:pPr>
      <w:r>
        <w:rPr>
          <w:rFonts w:eastAsia="Times New Roman"/>
        </w:rPr>
        <w:t>Following objections by respondent, Family Court again remitte</w:t>
      </w:r>
      <w:r>
        <w:rPr>
          <w:rFonts w:eastAsia="Times New Roman"/>
        </w:rPr>
        <w:t>d the matter to the Hearing Examiner to explain why the CSSA percentage was applied to the parental income in excess of $80,000. Respondent successfully moved for a rehearing, in which the Hearing Examiner determined that the parties' combined parental inc</w:t>
      </w:r>
      <w:r>
        <w:rPr>
          <w:rFonts w:eastAsia="Times New Roman"/>
        </w:rPr>
        <w:t>ome was $370,558, recalculating the annual incomes of petitioner and respondent to be $37,794 and $332,764, respectively. Since respondent failed to establish any reason for her to vary from Family Court Act 413(1)(f), the Hearing Examiner found that it wa</w:t>
      </w:r>
      <w:r>
        <w:rPr>
          <w:rFonts w:eastAsia="Times New Roman"/>
        </w:rPr>
        <w:t>s in the children's best interest to apply the CSSA percentage to all of the combined parental income. This resulted in a $83,200 annual child support obligation. Respondent filed objections with Family Court, which were rejected.</w:t>
      </w:r>
    </w:p>
    <w:p w:rsidR="00000000" w:rsidRDefault="00F84936">
      <w:pPr>
        <w:ind w:left="720"/>
        <w:divId w:val="15743036"/>
        <w:rPr>
          <w:rFonts w:eastAsia="Times New Roman"/>
          <w:b/>
          <w:bCs/>
        </w:rPr>
      </w:pPr>
      <w:r>
        <w:rPr>
          <w:rFonts w:eastAsia="Times New Roman"/>
          <w:b/>
          <w:bCs/>
        </w:rPr>
        <w:lastRenderedPageBreak/>
        <w:t>Upward Modification</w:t>
      </w:r>
    </w:p>
    <w:p w:rsidR="00000000" w:rsidRDefault="00F84936">
      <w:pPr>
        <w:ind w:left="720"/>
        <w:divId w:val="15743036"/>
        <w:rPr>
          <w:rFonts w:eastAsia="Times New Roman"/>
        </w:rPr>
      </w:pPr>
      <w:r>
        <w:rPr>
          <w:rFonts w:eastAsia="Times New Roman"/>
        </w:rPr>
        <w:t>The T</w:t>
      </w:r>
      <w:r>
        <w:rPr>
          <w:rFonts w:eastAsia="Times New Roman"/>
        </w:rPr>
        <w:t>hird Department held that, contrary to respondent's contention, the substantial increase in his income between 1990 and 1996 provided the necessary change in circumstances warranting an upward modification of child support.</w:t>
      </w:r>
      <w:hyperlink w:anchor="bottom" w:history="1">
        <w:r>
          <w:rPr>
            <w:rStyle w:val="Hyperlink"/>
            <w:rFonts w:eastAsia="Times New Roman"/>
          </w:rPr>
          <w:t>5</w:t>
        </w:r>
      </w:hyperlink>
      <w:r>
        <w:rPr>
          <w:rFonts w:eastAsia="Times New Roman"/>
        </w:rPr>
        <w:t xml:space="preserve"> It</w:t>
      </w:r>
      <w:r>
        <w:rPr>
          <w:rFonts w:eastAsia="Times New Roman"/>
        </w:rPr>
        <w:t xml:space="preserve"> also held that the Hearing Examiner erred in calculating his income and in failing to adequately articulate the reasons for applying the CSSA percentage to the parties' combined parental income in excess of $80,000.</w:t>
      </w:r>
    </w:p>
    <w:p w:rsidR="00000000" w:rsidRDefault="00F84936">
      <w:pPr>
        <w:ind w:left="720"/>
        <w:divId w:val="15743036"/>
        <w:rPr>
          <w:rFonts w:eastAsia="Times New Roman"/>
        </w:rPr>
      </w:pPr>
      <w:r>
        <w:rPr>
          <w:rFonts w:eastAsia="Times New Roman"/>
        </w:rPr>
        <w:t>The appellate court initially found tha</w:t>
      </w:r>
      <w:r>
        <w:rPr>
          <w:rFonts w:eastAsia="Times New Roman"/>
        </w:rPr>
        <w:t>t the record did not substantiate the Hearing Examiner's finding that respondent's annual income should include the increased value of his stock portfolio, because the capital gains allegedly realized by respondent during this period was "paper only" incom</w:t>
      </w:r>
      <w:r>
        <w:rPr>
          <w:rFonts w:eastAsia="Times New Roman"/>
        </w:rPr>
        <w:t>e. As respondent earned a substantial salary from the operation of his restaurant, the court concluded that an award of child support based on his income, excluding the unrealized gains, would hardly be unjust or inappropriate, especially since there was n</w:t>
      </w:r>
      <w:r>
        <w:rPr>
          <w:rFonts w:eastAsia="Times New Roman"/>
        </w:rPr>
        <w:t>o evidence that he was attempting to avoid his child support obligation through calculated investment strategies. It therefore excluded that amount in computing respondent's income, reducing his income for the purpose of calculating child support to $244,8</w:t>
      </w:r>
      <w:r>
        <w:rPr>
          <w:rFonts w:eastAsia="Times New Roman"/>
        </w:rPr>
        <w:t>27.</w:t>
      </w:r>
    </w:p>
    <w:p w:rsidR="00000000" w:rsidRDefault="00F84936">
      <w:pPr>
        <w:ind w:left="720"/>
        <w:divId w:val="15743036"/>
        <w:rPr>
          <w:rFonts w:eastAsia="Times New Roman"/>
        </w:rPr>
      </w:pPr>
      <w:r>
        <w:rPr>
          <w:rFonts w:eastAsia="Times New Roman"/>
        </w:rPr>
        <w:t xml:space="preserve">The court agreed with respondent that the Hearing Examiner failed to sufficiently articulate the reasons for applying the statutory formula to the combined parental income in excess of $80,000. It noted that in </w:t>
      </w:r>
      <w:r>
        <w:rPr>
          <w:rFonts w:eastAsia="Times New Roman"/>
          <w:i/>
          <w:iCs/>
        </w:rPr>
        <w:t>Cassano</w:t>
      </w:r>
      <w:r>
        <w:rPr>
          <w:rFonts w:eastAsia="Times New Roman"/>
        </w:rPr>
        <w:t xml:space="preserve"> the Court of Appeals held that th</w:t>
      </w:r>
      <w:r>
        <w:rPr>
          <w:rFonts w:eastAsia="Times New Roman"/>
        </w:rPr>
        <w:t>e language of FCA 413(1)(f) "should be read to afford courts the discretion to apply the 'paragraph (f)' factors, or to apply the statutory percentages, or to apply both in fixing the basic child support obligation on parental income over $80,000." However</w:t>
      </w:r>
      <w:r>
        <w:rPr>
          <w:rFonts w:eastAsia="Times New Roman"/>
        </w:rPr>
        <w:t xml:space="preserve">, the </w:t>
      </w:r>
      <w:r>
        <w:rPr>
          <w:rFonts w:eastAsia="Times New Roman"/>
          <w:i/>
          <w:iCs/>
        </w:rPr>
        <w:t>Cassano</w:t>
      </w:r>
      <w:r>
        <w:rPr>
          <w:rFonts w:eastAsia="Times New Roman"/>
        </w:rPr>
        <w:t xml:space="preserve"> court emphasized that, when a court chooses to apply the statutory percentage to combined parental income over $80,000, it is required to provide "some record articulation" of its reasons in order to facilitate appellate review. In addition t</w:t>
      </w:r>
      <w:r>
        <w:rPr>
          <w:rFonts w:eastAsia="Times New Roman"/>
        </w:rPr>
        <w:t>o providing a record articulation for deviating or not deviating from the statutory formula, a court must relate that record articulation to the statutory factors.</w:t>
      </w:r>
    </w:p>
    <w:p w:rsidR="00000000" w:rsidRDefault="00F84936">
      <w:pPr>
        <w:ind w:left="720"/>
        <w:divId w:val="15743036"/>
        <w:rPr>
          <w:rFonts w:eastAsia="Times New Roman"/>
        </w:rPr>
      </w:pPr>
      <w:r>
        <w:rPr>
          <w:rFonts w:eastAsia="Times New Roman"/>
        </w:rPr>
        <w:t>Here, the Hearing Examiner recited the statutory factors in her decision without relating th</w:t>
      </w:r>
      <w:r>
        <w:rPr>
          <w:rFonts w:eastAsia="Times New Roman"/>
        </w:rPr>
        <w:t>em to the ultimate facts upon which she relied. Moreover, upon its relation of the factors outlined under the statute to the facts of this case, the court concluded that the Hearing Examiner's application of the statutory 25 percent to the income above $80</w:t>
      </w:r>
      <w:r>
        <w:rPr>
          <w:rFonts w:eastAsia="Times New Roman"/>
        </w:rPr>
        <w:t>,000 was an abuse of discretion, resulting in an excessive award. In its view, "a reduced percentage of 15 percent to the income in excess of $80,000 bears a more reasoned corollary between the statutory factors and the parties' circumstances."</w:t>
      </w:r>
    </w:p>
    <w:p w:rsidR="00000000" w:rsidRDefault="00F84936">
      <w:pPr>
        <w:ind w:left="720"/>
        <w:divId w:val="15743036"/>
        <w:rPr>
          <w:rFonts w:eastAsia="Times New Roman"/>
          <w:b/>
          <w:bCs/>
        </w:rPr>
      </w:pPr>
      <w:r>
        <w:rPr>
          <w:rFonts w:eastAsia="Times New Roman"/>
          <w:b/>
          <w:bCs/>
        </w:rPr>
        <w:t>Adequate Re</w:t>
      </w:r>
      <w:r>
        <w:rPr>
          <w:rFonts w:eastAsia="Times New Roman"/>
          <w:b/>
          <w:bCs/>
        </w:rPr>
        <w:t>sources</w:t>
      </w:r>
    </w:p>
    <w:p w:rsidR="00000000" w:rsidRDefault="00F84936">
      <w:pPr>
        <w:ind w:left="720"/>
        <w:divId w:val="15743036"/>
        <w:rPr>
          <w:rFonts w:eastAsia="Times New Roman"/>
        </w:rPr>
      </w:pPr>
      <w:r>
        <w:rPr>
          <w:rFonts w:eastAsia="Times New Roman"/>
        </w:rPr>
        <w:t xml:space="preserve">The court outlined the factors it considered in rejecting a strict application of the statutory formula to the parties' income over $80,000 and discussed the factors set </w:t>
      </w:r>
      <w:r>
        <w:rPr>
          <w:rFonts w:eastAsia="Times New Roman"/>
        </w:rPr>
        <w:t xml:space="preserve">forth in FCA 413[1-b][f]. It found that, although respondent </w:t>
      </w:r>
      <w:r>
        <w:rPr>
          <w:rFonts w:eastAsia="Times New Roman"/>
        </w:rPr>
        <w:lastRenderedPageBreak/>
        <w:t>earned substantially more than petitioner, petitioner had adequate financial resources at her disposal, including rental property, investments, a catering business and a working spouse who earned</w:t>
      </w:r>
      <w:r>
        <w:rPr>
          <w:rFonts w:eastAsia="Times New Roman"/>
        </w:rPr>
        <w:t xml:space="preserve"> $48,000 per year. The children were healthy and had no special needs. Petitioner had no educational needs of her own. The Appellate Division deemed it relevant that respondent was responsible for providing health insurance for the children and that his in</w:t>
      </w:r>
      <w:r>
        <w:rPr>
          <w:rFonts w:eastAsia="Times New Roman"/>
        </w:rPr>
        <w:t>creased income over the years was not based on a windfall but was the direct result of his personal efforts to succeed.</w:t>
      </w:r>
    </w:p>
    <w:p w:rsidR="00000000" w:rsidRDefault="00F84936">
      <w:pPr>
        <w:ind w:left="720"/>
        <w:divId w:val="15743036"/>
        <w:rPr>
          <w:rFonts w:eastAsia="Times New Roman"/>
        </w:rPr>
      </w:pPr>
      <w:r>
        <w:rPr>
          <w:rFonts w:eastAsia="Times New Roman"/>
        </w:rPr>
        <w:t>While there was no doubt that respondent's success would have permitted the children to enjoy a higher standard of living had the partie</w:t>
      </w:r>
      <w:r>
        <w:rPr>
          <w:rFonts w:eastAsia="Times New Roman"/>
        </w:rPr>
        <w:t>s remained married, the court believed that an increase in child support to $43,842 a year permitted them to enjoy an appropriately enhanced standard of living. It noted that although children must generally be permitted to share in a noncustodial parent's</w:t>
      </w:r>
      <w:r>
        <w:rPr>
          <w:rFonts w:eastAsia="Times New Roman"/>
        </w:rPr>
        <w:t xml:space="preserve"> enhanced standard of living and a court is not permitted to make an award based solely on their actual needs, the children's needs are an appropriate factor to be considered when determining an award of child support on income in excess of $80,000. </w:t>
      </w:r>
    </w:p>
    <w:p w:rsidR="00000000" w:rsidRDefault="00F84936">
      <w:pPr>
        <w:ind w:left="720"/>
        <w:divId w:val="15743036"/>
        <w:rPr>
          <w:rFonts w:eastAsia="Times New Roman"/>
        </w:rPr>
      </w:pPr>
      <w:r>
        <w:rPr>
          <w:rFonts w:eastAsia="Times New Roman"/>
        </w:rPr>
        <w:t>It he</w:t>
      </w:r>
      <w:r>
        <w:rPr>
          <w:rFonts w:eastAsia="Times New Roman"/>
        </w:rPr>
        <w:t xml:space="preserve">ld that the mere fact that the children would have enjoyed an enhanced standard of living had the parties remained married does not necessarily mean that the statutory formula should be blindly applied on all income over $80,000. To do so would constitute </w:t>
      </w:r>
      <w:r>
        <w:rPr>
          <w:rFonts w:eastAsia="Times New Roman"/>
        </w:rPr>
        <w:t>an abdication of judicial responsibility rendering meaningless the statutory provision setting a cap on a strict application of the formula, particularly in cases where the combined parental income substantially exceeds $80,000.</w:t>
      </w:r>
    </w:p>
    <w:p w:rsidR="00000000" w:rsidRDefault="00F84936">
      <w:pPr>
        <w:ind w:left="720"/>
        <w:divId w:val="15743036"/>
        <w:rPr>
          <w:rFonts w:eastAsia="Times New Roman"/>
        </w:rPr>
      </w:pPr>
      <w:r>
        <w:rPr>
          <w:rFonts w:eastAsia="Times New Roman"/>
        </w:rPr>
        <w:t>In a footnote, the Third De</w:t>
      </w:r>
      <w:r>
        <w:rPr>
          <w:rFonts w:eastAsia="Times New Roman"/>
        </w:rPr>
        <w:t xml:space="preserve">partment explained that </w:t>
      </w:r>
      <w:r>
        <w:rPr>
          <w:rFonts w:eastAsia="Times New Roman"/>
          <w:i/>
          <w:iCs/>
        </w:rPr>
        <w:t>Cassano</w:t>
      </w:r>
      <w:r>
        <w:rPr>
          <w:rFonts w:eastAsia="Times New Roman"/>
        </w:rPr>
        <w:t xml:space="preserve"> had been misconstrued by the Hearing Examiner, whose holding that child support is not limited by need was apparently based on a misreading of </w:t>
      </w:r>
      <w:r>
        <w:rPr>
          <w:rFonts w:eastAsia="Times New Roman"/>
          <w:i/>
          <w:iCs/>
        </w:rPr>
        <w:t>Cassano</w:t>
      </w:r>
      <w:r>
        <w:rPr>
          <w:rFonts w:eastAsia="Times New Roman"/>
        </w:rPr>
        <w:t xml:space="preserve"> where the Court of Appeals, in </w:t>
      </w:r>
      <w:r>
        <w:rPr>
          <w:rFonts w:eastAsia="Times New Roman"/>
        </w:rPr>
        <w:t>discussing the purpose of the CSSA generally, noted that there was a shift from a needs-based determination to a determination based on parental income. It determined that the Court of Appeals observation of the statute's general objectives should not be m</w:t>
      </w:r>
      <w:r>
        <w:rPr>
          <w:rFonts w:eastAsia="Times New Roman"/>
        </w:rPr>
        <w:t>isread to completely eliminate an analysis of the children's needs as one of many factors to be considered by a court should it choose to deviate from the statutory percentage on income in excess of $80,000.</w:t>
      </w:r>
    </w:p>
    <w:p w:rsidR="00000000" w:rsidRDefault="00F84936">
      <w:pPr>
        <w:ind w:left="720"/>
        <w:divId w:val="15743036"/>
        <w:rPr>
          <w:rFonts w:eastAsia="Times New Roman"/>
        </w:rPr>
      </w:pPr>
      <w:r>
        <w:rPr>
          <w:rFonts w:eastAsia="Times New Roman"/>
        </w:rPr>
        <w:t>Although petitioner outlined the purported needs</w:t>
      </w:r>
      <w:r>
        <w:rPr>
          <w:rFonts w:eastAsia="Times New Roman"/>
        </w:rPr>
        <w:t xml:space="preserve"> of her teenage children, it was clear to the court that these needs did not require annual child support in excess of $83,000. It found that the $65,052 per year of child support petitioner was receiving as of the second hearing was more than either petit</w:t>
      </w:r>
      <w:r>
        <w:rPr>
          <w:rFonts w:eastAsia="Times New Roman"/>
        </w:rPr>
        <w:t>ioner or her current spouse earned and was sufficient to cover all of petitioner's household expenses as outlined in her financial statement. It emphasized that petitioner testified that she had no idea how she would spend $65,000 per year on her children,</w:t>
      </w:r>
      <w:r>
        <w:rPr>
          <w:rFonts w:eastAsia="Times New Roman"/>
        </w:rPr>
        <w:t xml:space="preserve"> and her current spouse testified that the child support would be used to paint and restore the couple's house.</w:t>
      </w:r>
    </w:p>
    <w:p w:rsidR="00000000" w:rsidRDefault="00F84936">
      <w:pPr>
        <w:pStyle w:val="NormalWeb"/>
        <w:jc w:val="center"/>
        <w:divId w:val="15743036"/>
      </w:pPr>
      <w:r>
        <w:t>---------------------</w:t>
      </w:r>
      <w:r>
        <w:t>-</w:t>
      </w:r>
    </w:p>
    <w:p w:rsidR="00000000" w:rsidRDefault="00F84936">
      <w:pPr>
        <w:pStyle w:val="NormalWeb"/>
        <w:jc w:val="center"/>
        <w:divId w:val="15743036"/>
      </w:pPr>
      <w:r>
        <w:lastRenderedPageBreak/>
        <w:t>Note</w:t>
      </w:r>
      <w:r>
        <w:t>s</w:t>
      </w:r>
    </w:p>
    <w:p w:rsidR="00000000" w:rsidRDefault="00F84936">
      <w:pPr>
        <w:ind w:left="720"/>
        <w:divId w:val="15743036"/>
        <w:rPr>
          <w:rFonts w:eastAsia="Times New Roman"/>
        </w:rPr>
      </w:pPr>
      <w:bookmarkStart w:id="1" w:name="bottom"/>
      <w:bookmarkEnd w:id="1"/>
      <w:r>
        <w:rPr>
          <w:rFonts w:eastAsia="Times New Roman"/>
          <w:sz w:val="20"/>
          <w:szCs w:val="20"/>
        </w:rPr>
        <w:t>(1) 182 AD2d 862</w:t>
      </w:r>
    </w:p>
    <w:p w:rsidR="00000000" w:rsidRDefault="00F84936">
      <w:pPr>
        <w:ind w:left="720"/>
        <w:divId w:val="15743036"/>
        <w:rPr>
          <w:rFonts w:eastAsia="Times New Roman"/>
        </w:rPr>
      </w:pPr>
      <w:r>
        <w:rPr>
          <w:rFonts w:eastAsia="Times New Roman"/>
          <w:sz w:val="20"/>
          <w:szCs w:val="20"/>
        </w:rPr>
        <w:t>(2) 85 NY2d 649 (1995)</w:t>
      </w:r>
    </w:p>
    <w:p w:rsidR="00000000" w:rsidRDefault="00F84936">
      <w:pPr>
        <w:ind w:left="720"/>
        <w:divId w:val="15743036"/>
        <w:rPr>
          <w:rFonts w:eastAsia="Times New Roman"/>
        </w:rPr>
      </w:pPr>
      <w:r>
        <w:rPr>
          <w:rFonts w:eastAsia="Times New Roman"/>
          <w:sz w:val="20"/>
          <w:szCs w:val="20"/>
        </w:rPr>
        <w:t>(3) 224 AD2d 783, 642 NYS2d 378 (3d Dept, 1996)</w:t>
      </w:r>
    </w:p>
    <w:p w:rsidR="00000000" w:rsidRDefault="00F84936">
      <w:pPr>
        <w:ind w:left="720"/>
        <w:divId w:val="15743036"/>
        <w:rPr>
          <w:rFonts w:eastAsia="Times New Roman"/>
        </w:rPr>
      </w:pPr>
      <w:r>
        <w:rPr>
          <w:rFonts w:eastAsia="Times New Roman"/>
          <w:sz w:val="20"/>
          <w:szCs w:val="20"/>
        </w:rPr>
        <w:t>(4) AD2d , NYS2d NYLJ, 4-7-</w:t>
      </w:r>
      <w:r>
        <w:rPr>
          <w:rFonts w:eastAsia="Times New Roman"/>
          <w:sz w:val="20"/>
          <w:szCs w:val="20"/>
        </w:rPr>
        <w:t>99 P. 25, Col. 3 (3d Dept, 1999)</w:t>
      </w:r>
    </w:p>
    <w:p w:rsidR="00000000" w:rsidRDefault="00F84936">
      <w:pPr>
        <w:ind w:left="720"/>
        <w:divId w:val="15743036"/>
        <w:rPr>
          <w:rFonts w:eastAsia="Times New Roman"/>
        </w:rPr>
      </w:pPr>
      <w:r>
        <w:rPr>
          <w:rFonts w:eastAsia="Times New Roman"/>
          <w:sz w:val="20"/>
          <w:szCs w:val="20"/>
        </w:rPr>
        <w:t xml:space="preserve">(5) Citing </w:t>
      </w:r>
      <w:r>
        <w:rPr>
          <w:rFonts w:eastAsia="Times New Roman"/>
          <w:i/>
          <w:iCs/>
          <w:sz w:val="20"/>
          <w:szCs w:val="20"/>
        </w:rPr>
        <w:t>Matter of Klein v. Klein</w:t>
      </w:r>
      <w:r>
        <w:rPr>
          <w:rFonts w:eastAsia="Times New Roman"/>
          <w:sz w:val="20"/>
          <w:szCs w:val="20"/>
        </w:rPr>
        <w:t>, 251 AD2d 733, 674 NYS2d 142, 144</w:t>
      </w:r>
    </w:p>
    <w:p w:rsidR="00000000" w:rsidRDefault="00F84936">
      <w:pPr>
        <w:ind w:left="720"/>
        <w:divId w:val="15743036"/>
        <w:rPr>
          <w:rFonts w:eastAsia="Times New Roman"/>
        </w:rPr>
      </w:pPr>
      <w:r>
        <w:rPr>
          <w:rFonts w:eastAsia="Times New Roman"/>
        </w:rPr>
        <w:t>*********</w:t>
      </w:r>
    </w:p>
    <w:p w:rsidR="00000000" w:rsidRDefault="00F84936">
      <w:pPr>
        <w:divId w:val="15743036"/>
        <w:rPr>
          <w:rFonts w:eastAsia="Times New Roman"/>
        </w:rPr>
      </w:pPr>
      <w:r>
        <w:rPr>
          <w:rFonts w:eastAsia="Times New Roman"/>
        </w:rPr>
        <w:pict>
          <v:rect id="_x0000_i1026" style="width:0;height:1.5pt" o:hralign="center" o:hrstd="t" o:hr="t" fillcolor="#a0a0a0" stroked="f"/>
        </w:pict>
      </w:r>
    </w:p>
    <w:p w:rsidR="00000000" w:rsidRDefault="00F84936">
      <w:pPr>
        <w:pStyle w:val="NormalWeb"/>
        <w:divId w:val="15743036"/>
        <w:rPr>
          <w:i/>
          <w:iCs/>
        </w:rPr>
      </w:pPr>
      <w:r>
        <w:rPr>
          <w:b/>
          <w:bCs/>
        </w:rPr>
        <w:t>Joel R. Brandes</w:t>
      </w:r>
      <w:r>
        <w:rPr>
          <w:b/>
          <w:bCs/>
        </w:rPr>
        <w:t xml:space="preserve"> </w:t>
      </w:r>
      <w:r>
        <w:rPr>
          <w:i/>
          <w:iCs/>
        </w:rPr>
        <w:t>heads The Law Firm of Joel R. Brandes PC, which has offices in Garden City and New York Ci</w:t>
      </w:r>
      <w:r>
        <w:rPr>
          <w:i/>
          <w:iCs/>
        </w:rPr>
        <w:t xml:space="preserve">ty. He co-authored the nine-volume </w:t>
      </w:r>
      <w:r>
        <w:t xml:space="preserve">Law and the Family New York </w:t>
      </w:r>
      <w:r>
        <w:rPr>
          <w:i/>
          <w:iCs/>
        </w:rPr>
        <w:t xml:space="preserve">and </w:t>
      </w:r>
      <w:r>
        <w:t xml:space="preserve">Law and the Family New York Forms </w:t>
      </w:r>
      <w:r>
        <w:rPr>
          <w:i/>
          <w:iCs/>
        </w:rPr>
        <w:t>(both, published by Westgroup).</w:t>
      </w:r>
      <w:r>
        <w:t xml:space="preserve"> </w:t>
      </w:r>
      <w:r>
        <w:rPr>
          <w:b/>
          <w:bCs/>
        </w:rPr>
        <w:t>Bari B. Brande</w:t>
      </w:r>
      <w:r>
        <w:rPr>
          <w:b/>
          <w:bCs/>
        </w:rPr>
        <w:t>s</w:t>
      </w:r>
      <w:r>
        <w:rPr>
          <w:i/>
          <w:iCs/>
        </w:rPr>
        <w:t>, an associate of the firm, assisted in the preparation of this article</w:t>
      </w:r>
      <w:r>
        <w:rPr>
          <w:i/>
          <w:iCs/>
        </w:rPr>
        <w:t>.</w:t>
      </w:r>
    </w:p>
    <w:p w:rsidR="00000000" w:rsidRDefault="00F84936">
      <w:pPr>
        <w:rPr>
          <w:rFonts w:eastAsia="Times New Roman"/>
        </w:rPr>
      </w:pPr>
      <w:r>
        <w:rPr>
          <w:rFonts w:eastAsia="Times New Roman"/>
        </w:rPr>
        <w:pict>
          <v:rect id="_x0000_i1027"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84936"/>
    <w:rsid w:val="00F8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4BB924-C2A7-4D3B-874C-0E547040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580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42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2267</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2016-07-12T11:05:00Z</dcterms:created>
  <dcterms:modified xsi:type="dcterms:W3CDTF">2016-07-12T11:05:00Z</dcterms:modified>
</cp:coreProperties>
</file>