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505B">
      <w:pPr>
        <w:rPr>
          <w:rFonts w:eastAsia="Times New Roman"/>
        </w:rPr>
      </w:pPr>
      <w:r>
        <w:rPr>
          <w:rFonts w:eastAsia="Times New Roman"/>
        </w:rPr>
        <w:t> </w:t>
      </w:r>
    </w:p>
    <w:p w:rsidR="00000000" w:rsidRDefault="00D6505B">
      <w:pPr>
        <w:rPr>
          <w:rFonts w:eastAsia="Times New Roman"/>
        </w:rPr>
      </w:pPr>
      <w:r>
        <w:rPr>
          <w:rFonts w:eastAsia="Times New Roman"/>
        </w:rPr>
        <w:pict>
          <v:rect id="_x0000_i1025" style="width:0;height:1.5pt" o:hralign="center" o:hrstd="t" o:hr="t" fillcolor="#a0a0a0" stroked="f"/>
        </w:pict>
      </w:r>
    </w:p>
    <w:p w:rsidR="00000000" w:rsidRDefault="00D6505B">
      <w:pPr>
        <w:pStyle w:val="Heading3"/>
        <w:jc w:val="center"/>
        <w:rPr>
          <w:rFonts w:eastAsia="Times New Roman"/>
        </w:rPr>
      </w:pPr>
      <w:r>
        <w:rPr>
          <w:rFonts w:eastAsia="Times New Roman"/>
          <w:color w:val="FF00FF"/>
        </w:rPr>
        <w:t xml:space="preserve">- </w:t>
      </w:r>
      <w:bookmarkStart w:id="0" w:name="_GoBack"/>
      <w:r>
        <w:rPr>
          <w:rFonts w:eastAsia="Times New Roman"/>
          <w:color w:val="FF00FF"/>
        </w:rPr>
        <w:t xml:space="preserve">New York Equitable Distribution FAQ's </w:t>
      </w:r>
      <w:bookmarkEnd w:id="0"/>
      <w:r>
        <w:rPr>
          <w:rFonts w:eastAsia="Times New Roman"/>
          <w:color w:val="FF00FF"/>
        </w:rPr>
        <w:t>-</w:t>
      </w:r>
    </w:p>
    <w:p w:rsidR="00000000" w:rsidRDefault="00D6505B">
      <w:pPr>
        <w:rPr>
          <w:rFonts w:eastAsia="Times New Roman"/>
        </w:rPr>
      </w:pPr>
      <w:r>
        <w:rPr>
          <w:rFonts w:eastAsia="Times New Roman"/>
        </w:rPr>
        <w:pict>
          <v:rect id="_x0000_i1026" style="width:0;height:1.5pt" o:hralign="center" o:hrstd="t" o:hr="t" fillcolor="#a0a0a0" stroked="f"/>
        </w:pict>
      </w:r>
    </w:p>
    <w:p w:rsidR="00000000" w:rsidRDefault="00D6505B">
      <w:pPr>
        <w:numPr>
          <w:ilvl w:val="0"/>
          <w:numId w:val="1"/>
        </w:numPr>
        <w:spacing w:before="100" w:beforeAutospacing="1" w:after="100" w:afterAutospacing="1"/>
        <w:rPr>
          <w:rFonts w:eastAsia="Times New Roman"/>
        </w:rPr>
      </w:pPr>
      <w:r>
        <w:rPr>
          <w:rFonts w:eastAsia="Times New Roman"/>
        </w:rPr>
        <w:t>What is equitable distribution?</w:t>
      </w:r>
    </w:p>
    <w:p w:rsidR="00000000" w:rsidRDefault="00D6505B">
      <w:pPr>
        <w:pStyle w:val="Heading4"/>
        <w:ind w:left="720"/>
        <w:divId w:val="2098667217"/>
        <w:rPr>
          <w:rFonts w:eastAsia="Times New Roman"/>
        </w:rPr>
      </w:pPr>
      <w:r>
        <w:rPr>
          <w:rFonts w:eastAsia="Times New Roman"/>
        </w:rPr>
        <w:t>It is a method for distributing property acquired by owned by either spouse upon the dissolution of the marria</w:t>
      </w:r>
      <w:r>
        <w:rPr>
          <w:rFonts w:eastAsia="Times New Roman"/>
        </w:rPr>
        <w:t>ge, which replaces "common law" principles of property ownership. Prior to the adoption of "equitable distribution" in New York, New York was a " common law property " state. This meant that upon the dissolution of the marriage, the property owned by eithe</w:t>
      </w:r>
      <w:r>
        <w:rPr>
          <w:rFonts w:eastAsia="Times New Roman"/>
        </w:rPr>
        <w:t>r spouse was distributed according to the manner in which title was held. New York is now an "Equitable Distribution State." This means that upon dissolution of a marriage, the Court must distribute "equitably" all "marital property" regardless of the mann</w:t>
      </w:r>
      <w:r>
        <w:rPr>
          <w:rFonts w:eastAsia="Times New Roman"/>
        </w:rPr>
        <w:t xml:space="preserve">er in which title is held, considering the following factors: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Income of each party at time of marriage;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Income of each party at time of commencement of action;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Property of each party at time of marriage;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Property of each party at time of commencement o</w:t>
      </w:r>
      <w:r>
        <w:rPr>
          <w:rFonts w:eastAsia="Times New Roman"/>
        </w:rPr>
        <w:t xml:space="preserve">f action;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Duration of marriage;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Age of both parties;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Health of both parties;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Need of custodial parent to occupy or own marital residence;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Need of custodial parent to use or own household effects;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Loss of inheritance rights upon dissolution as of date</w:t>
      </w:r>
      <w:r>
        <w:rPr>
          <w:rFonts w:eastAsia="Times New Roman"/>
        </w:rPr>
        <w:t xml:space="preserve"> of dissolution;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Loss of pension rights upon dissolution as of date of dissolution;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Any award of maintenance;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Equitable claims to or interest in or direct or indirect contribution to the acquisition of the marital property by the party not having title,</w:t>
      </w:r>
      <w:r>
        <w:rPr>
          <w:rFonts w:eastAsia="Times New Roman"/>
        </w:rPr>
        <w:t xml:space="preserve"> including: </w:t>
      </w:r>
    </w:p>
    <w:p w:rsidR="00000000" w:rsidRDefault="00D6505B">
      <w:pPr>
        <w:ind w:left="720"/>
        <w:divId w:val="2098667217"/>
        <w:rPr>
          <w:rFonts w:eastAsia="Times New Roman"/>
        </w:rPr>
      </w:pPr>
      <w:r>
        <w:rPr>
          <w:rFonts w:eastAsia="Times New Roman"/>
        </w:rPr>
        <w:t xml:space="preserve">(a) Joint efforts; </w:t>
      </w:r>
    </w:p>
    <w:p w:rsidR="00000000" w:rsidRDefault="00D6505B">
      <w:pPr>
        <w:ind w:left="720"/>
        <w:divId w:val="2098667217"/>
        <w:rPr>
          <w:rFonts w:eastAsia="Times New Roman"/>
        </w:rPr>
      </w:pPr>
      <w:r>
        <w:rPr>
          <w:rFonts w:eastAsia="Times New Roman"/>
        </w:rPr>
        <w:t xml:space="preserve">(b) Expenditures; </w:t>
      </w:r>
    </w:p>
    <w:p w:rsidR="00000000" w:rsidRDefault="00D6505B">
      <w:pPr>
        <w:ind w:left="720"/>
        <w:divId w:val="2098667217"/>
        <w:rPr>
          <w:rFonts w:eastAsia="Times New Roman"/>
        </w:rPr>
      </w:pPr>
      <w:r>
        <w:rPr>
          <w:rFonts w:eastAsia="Times New Roman"/>
        </w:rPr>
        <w:t xml:space="preserve">(c) Contributions as a spouse, parent, wage earner and homemaker and to the career or career potential of the other party;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Liquid or non-liquid character of all marital property;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Probable future financi</w:t>
      </w:r>
      <w:r>
        <w:rPr>
          <w:rFonts w:eastAsia="Times New Roman"/>
        </w:rPr>
        <w:t xml:space="preserve">al circumstances of each party;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lastRenderedPageBreak/>
        <w:t xml:space="preserve">Impossibility or difficulty of evaluating any asset or interest in a business, corporation or profession;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The desirability of retaining the asset, or interest in the business, corporation or </w:t>
      </w:r>
      <w:r>
        <w:rPr>
          <w:rFonts w:eastAsia="Times New Roman"/>
        </w:rPr>
        <w:t xml:space="preserve">profession free from any claim or interference by the other party;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The tax consequences to each party;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The wasteful dissipation of assets by either spouse;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Any transfer or encumbrance made in contemplation of a matrimonial action without fair considerat</w:t>
      </w:r>
      <w:r>
        <w:rPr>
          <w:rFonts w:eastAsia="Times New Roman"/>
        </w:rPr>
        <w:t xml:space="preserve">ion; and </w:t>
      </w:r>
    </w:p>
    <w:p w:rsidR="00000000" w:rsidRDefault="00D6505B">
      <w:pPr>
        <w:numPr>
          <w:ilvl w:val="1"/>
          <w:numId w:val="1"/>
        </w:numPr>
        <w:spacing w:before="100" w:beforeAutospacing="1" w:after="100" w:afterAutospacing="1"/>
        <w:divId w:val="2098667217"/>
        <w:rPr>
          <w:rFonts w:eastAsia="Times New Roman"/>
        </w:rPr>
      </w:pPr>
      <w:r>
        <w:rPr>
          <w:rFonts w:eastAsia="Times New Roman"/>
        </w:rPr>
        <w:t xml:space="preserve">Any other factor which the Court shall expressly find to be just and proper. </w:t>
      </w:r>
    </w:p>
    <w:p w:rsidR="00000000" w:rsidRDefault="00D6505B">
      <w:pPr>
        <w:numPr>
          <w:ilvl w:val="0"/>
          <w:numId w:val="1"/>
        </w:numPr>
        <w:spacing w:before="100" w:beforeAutospacing="1" w:after="100" w:afterAutospacing="1"/>
        <w:rPr>
          <w:rFonts w:eastAsia="Times New Roman"/>
        </w:rPr>
      </w:pPr>
      <w:r>
        <w:rPr>
          <w:rFonts w:eastAsia="Times New Roman"/>
        </w:rPr>
        <w:t>What property is subject to equitable distribution?</w:t>
      </w:r>
    </w:p>
    <w:p w:rsidR="00000000" w:rsidRDefault="00D6505B">
      <w:pPr>
        <w:pStyle w:val="Heading4"/>
        <w:ind w:left="720"/>
        <w:divId w:val="1213274602"/>
        <w:rPr>
          <w:rFonts w:eastAsia="Times New Roman"/>
        </w:rPr>
      </w:pPr>
      <w:r>
        <w:rPr>
          <w:rFonts w:eastAsia="Times New Roman"/>
        </w:rPr>
        <w:t>All property acquired by either or both parties during the marriage, but before execution of a separation agreement,</w:t>
      </w:r>
      <w:r>
        <w:rPr>
          <w:rFonts w:eastAsia="Times New Roman"/>
        </w:rPr>
        <w:t xml:space="preserve"> and before commencement of a matrimonial action, regardless of the form title is held. </w:t>
      </w:r>
    </w:p>
    <w:p w:rsidR="00000000" w:rsidRDefault="00D6505B">
      <w:pPr>
        <w:pStyle w:val="NormalWeb"/>
        <w:ind w:left="720"/>
        <w:divId w:val="1213274602"/>
      </w:pPr>
      <w:r>
        <w:t>It does not include property provided for in a written agreement. It does not include "separate property", which is defined as property acquired before marriage; prope</w:t>
      </w:r>
      <w:r>
        <w:t>rty acquired by bequest, devise, descent or gift from a party other than the spouse; compensation for personal injuries; property acquired in exchange for or the increase in value of separate property; property described as separate property pursuant to wr</w:t>
      </w:r>
      <w:r>
        <w:t>itten agreement of the parties. However, the increase in value of separate property (or property acquired in exchange for separate property) is marital property to the extent that the appreciation is due in part to the direct or indirect contributions or e</w:t>
      </w:r>
      <w:r>
        <w:t xml:space="preserve">fforts of the other spouse. </w:t>
      </w:r>
    </w:p>
    <w:p w:rsidR="00000000" w:rsidRDefault="00D6505B">
      <w:pPr>
        <w:numPr>
          <w:ilvl w:val="0"/>
          <w:numId w:val="1"/>
        </w:numPr>
        <w:spacing w:before="100" w:beforeAutospacing="1" w:after="100" w:afterAutospacing="1"/>
        <w:rPr>
          <w:rFonts w:eastAsia="Times New Roman"/>
        </w:rPr>
      </w:pPr>
      <w:r>
        <w:rPr>
          <w:rFonts w:eastAsia="Times New Roman"/>
        </w:rPr>
        <w:t>Is my business or professional practice subject to Equitable distribution?</w:t>
      </w:r>
    </w:p>
    <w:p w:rsidR="00000000" w:rsidRDefault="00D6505B">
      <w:pPr>
        <w:pStyle w:val="Heading4"/>
        <w:ind w:left="720"/>
        <w:divId w:val="1117138126"/>
        <w:rPr>
          <w:rFonts w:eastAsia="Times New Roman"/>
        </w:rPr>
      </w:pPr>
      <w:r>
        <w:rPr>
          <w:rFonts w:eastAsia="Times New Roman"/>
        </w:rPr>
        <w:t xml:space="preserve">Yes. Businesses, professional practices, and enhanced earning capacity attributable to the attainment of a career, or professional license, educational </w:t>
      </w:r>
      <w:r>
        <w:rPr>
          <w:rFonts w:eastAsia="Times New Roman"/>
        </w:rPr>
        <w:t xml:space="preserve">degree, profession or license is considered "property" subject to equitable distribution. </w:t>
      </w:r>
    </w:p>
    <w:p w:rsidR="00000000" w:rsidRDefault="00D6505B">
      <w:pPr>
        <w:numPr>
          <w:ilvl w:val="0"/>
          <w:numId w:val="1"/>
        </w:numPr>
        <w:spacing w:before="100" w:beforeAutospacing="1" w:after="100" w:afterAutospacing="1"/>
        <w:rPr>
          <w:rFonts w:eastAsia="Times New Roman"/>
        </w:rPr>
      </w:pPr>
      <w:r>
        <w:rPr>
          <w:rFonts w:eastAsia="Times New Roman"/>
        </w:rPr>
        <w:t>Does equitable distribution mean that all marital assets get evenly split?</w:t>
      </w:r>
    </w:p>
    <w:p w:rsidR="00000000" w:rsidRDefault="00D6505B">
      <w:pPr>
        <w:pStyle w:val="Heading4"/>
        <w:ind w:left="720"/>
        <w:divId w:val="1773208561"/>
        <w:rPr>
          <w:rFonts w:eastAsia="Times New Roman"/>
        </w:rPr>
      </w:pPr>
      <w:r>
        <w:rPr>
          <w:rFonts w:eastAsia="Times New Roman"/>
        </w:rPr>
        <w:t xml:space="preserve">No, equitable does not mean equal. Marital property must be distributed equitably between </w:t>
      </w:r>
      <w:r>
        <w:rPr>
          <w:rFonts w:eastAsia="Times New Roman"/>
        </w:rPr>
        <w:t xml:space="preserve">the parties, considering the circumstances of the case and of the respective parties.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F0BC9"/>
    <w:multiLevelType w:val="multilevel"/>
    <w:tmpl w:val="7C180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505B"/>
    <w:rsid w:val="00D6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1B524-BDB9-4C1B-8A60-8C434782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27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6721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edl Faq. New York Divorce and Family Law, the definitive site about divorce, child support and custody.</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 Faq.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2016-07-15T11:20:00Z</dcterms:created>
  <dcterms:modified xsi:type="dcterms:W3CDTF">2016-07-15T11:20:00Z</dcterms:modified>
</cp:coreProperties>
</file>