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C410B">
      <w:pPr>
        <w:rPr>
          <w:rFonts w:eastAsia="Times New Roman"/>
        </w:rPr>
      </w:pPr>
      <w:r>
        <w:rPr>
          <w:rFonts w:eastAsia="Times New Roman"/>
          <w:b/>
          <w:bCs/>
        </w:rPr>
        <w:t> </w:t>
      </w:r>
    </w:p>
    <w:p w:rsidR="00000000" w:rsidRDefault="00BC410B">
      <w:pPr>
        <w:rPr>
          <w:rFonts w:eastAsia="Times New Roman"/>
        </w:rPr>
      </w:pPr>
      <w:r>
        <w:rPr>
          <w:rFonts w:eastAsia="Times New Roman"/>
        </w:rPr>
        <w:pict>
          <v:rect id="_x0000_i1025" style="width:0;height:1.5pt" o:hralign="center" o:hrstd="t" o:hr="t" fillcolor="#a0a0a0" stroked="f"/>
        </w:pict>
      </w:r>
    </w:p>
    <w:p w:rsidR="00000000" w:rsidRDefault="00BC410B">
      <w:pPr>
        <w:pStyle w:val="Heading3"/>
        <w:jc w:val="center"/>
        <w:rPr>
          <w:rFonts w:eastAsia="Times New Roman"/>
        </w:rPr>
      </w:pPr>
      <w:r>
        <w:rPr>
          <w:rFonts w:eastAsia="Times New Roman"/>
          <w:color w:val="FF00FF"/>
          <w:sz w:val="24"/>
          <w:szCs w:val="24"/>
        </w:rPr>
        <w:t xml:space="preserve">- </w:t>
      </w:r>
      <w:bookmarkStart w:id="0" w:name="_GoBack"/>
      <w:r>
        <w:rPr>
          <w:rFonts w:eastAsia="Times New Roman"/>
          <w:color w:val="FF00FF"/>
          <w:sz w:val="24"/>
          <w:szCs w:val="24"/>
        </w:rPr>
        <w:t xml:space="preserve">New York Equitable Distribution Definitions FAQ's </w:t>
      </w:r>
      <w:bookmarkEnd w:id="0"/>
      <w:r>
        <w:rPr>
          <w:rFonts w:eastAsia="Times New Roman"/>
          <w:color w:val="FF00FF"/>
          <w:sz w:val="24"/>
          <w:szCs w:val="24"/>
        </w:rPr>
        <w:t>-</w:t>
      </w:r>
    </w:p>
    <w:p w:rsidR="00000000" w:rsidRDefault="00BC410B">
      <w:pPr>
        <w:rPr>
          <w:rFonts w:eastAsia="Times New Roman"/>
        </w:rPr>
      </w:pPr>
      <w:r>
        <w:rPr>
          <w:rFonts w:eastAsia="Times New Roman"/>
        </w:rPr>
        <w:pict>
          <v:rect id="_x0000_i1026" style="width:0;height:1.5pt" o:hralign="center" o:hrstd="t" o:hr="t" fillcolor="#a0a0a0" stroked="f"/>
        </w:pict>
      </w:r>
    </w:p>
    <w:p w:rsidR="00000000" w:rsidRDefault="00BC410B">
      <w:pPr>
        <w:numPr>
          <w:ilvl w:val="0"/>
          <w:numId w:val="1"/>
        </w:numPr>
        <w:spacing w:before="100" w:beforeAutospacing="1" w:after="100" w:afterAutospacing="1"/>
        <w:rPr>
          <w:rFonts w:eastAsia="Times New Roman"/>
        </w:rPr>
      </w:pPr>
      <w:r>
        <w:rPr>
          <w:rFonts w:eastAsia="Times New Roman"/>
          <w:b/>
          <w:bCs/>
        </w:rPr>
        <w:t xml:space="preserve">When is a Disposition of Marital Property available? </w:t>
      </w:r>
    </w:p>
    <w:p w:rsidR="00000000" w:rsidRDefault="00BC410B">
      <w:pPr>
        <w:pStyle w:val="Heading4"/>
        <w:ind w:left="720"/>
        <w:rPr>
          <w:rFonts w:eastAsia="Times New Roman"/>
        </w:rPr>
      </w:pPr>
      <w:r>
        <w:rPr>
          <w:rFonts w:eastAsia="Times New Roman"/>
        </w:rPr>
        <w:t>A distribution of Marital Property is available, where it is not disposed of</w:t>
      </w:r>
      <w:r>
        <w:rPr>
          <w:rFonts w:eastAsia="Times New Roman"/>
        </w:rPr>
        <w:t xml:space="preserve"> by a matrimonial agreement, in an action where all or part of the relief granted is: </w:t>
      </w:r>
    </w:p>
    <w:p w:rsidR="00000000" w:rsidRDefault="00BC410B">
      <w:pPr>
        <w:numPr>
          <w:ilvl w:val="1"/>
          <w:numId w:val="1"/>
        </w:numPr>
        <w:spacing w:before="100" w:beforeAutospacing="1" w:after="100" w:afterAutospacing="1"/>
        <w:rPr>
          <w:rFonts w:eastAsia="Times New Roman"/>
        </w:rPr>
      </w:pPr>
      <w:r>
        <w:rPr>
          <w:rFonts w:eastAsia="Times New Roman"/>
          <w:b/>
          <w:bCs/>
        </w:rPr>
        <w:t xml:space="preserve">Divorce </w:t>
      </w:r>
    </w:p>
    <w:p w:rsidR="00000000" w:rsidRDefault="00BC410B">
      <w:pPr>
        <w:numPr>
          <w:ilvl w:val="1"/>
          <w:numId w:val="1"/>
        </w:numPr>
        <w:spacing w:before="100" w:beforeAutospacing="1" w:after="100" w:afterAutospacing="1"/>
        <w:rPr>
          <w:rFonts w:eastAsia="Times New Roman"/>
        </w:rPr>
      </w:pPr>
      <w:r>
        <w:rPr>
          <w:rFonts w:eastAsia="Times New Roman"/>
          <w:b/>
          <w:bCs/>
        </w:rPr>
        <w:t xml:space="preserve">Dissolution </w:t>
      </w:r>
    </w:p>
    <w:p w:rsidR="00000000" w:rsidRDefault="00BC410B">
      <w:pPr>
        <w:numPr>
          <w:ilvl w:val="1"/>
          <w:numId w:val="1"/>
        </w:numPr>
        <w:spacing w:before="100" w:beforeAutospacing="1" w:after="100" w:afterAutospacing="1"/>
        <w:rPr>
          <w:rFonts w:eastAsia="Times New Roman"/>
        </w:rPr>
      </w:pPr>
      <w:r>
        <w:rPr>
          <w:rFonts w:eastAsia="Times New Roman"/>
          <w:b/>
          <w:bCs/>
        </w:rPr>
        <w:t xml:space="preserve">Annulment </w:t>
      </w:r>
    </w:p>
    <w:p w:rsidR="00000000" w:rsidRDefault="00BC410B">
      <w:pPr>
        <w:numPr>
          <w:ilvl w:val="1"/>
          <w:numId w:val="1"/>
        </w:numPr>
        <w:spacing w:before="100" w:beforeAutospacing="1" w:after="100" w:afterAutospacing="1"/>
        <w:rPr>
          <w:rFonts w:eastAsia="Times New Roman"/>
        </w:rPr>
      </w:pPr>
      <w:r>
        <w:rPr>
          <w:rFonts w:eastAsia="Times New Roman"/>
          <w:b/>
          <w:bCs/>
        </w:rPr>
        <w:t xml:space="preserve">Declaration of nullity </w:t>
      </w:r>
    </w:p>
    <w:p w:rsidR="00000000" w:rsidRDefault="00BC410B">
      <w:pPr>
        <w:numPr>
          <w:ilvl w:val="1"/>
          <w:numId w:val="1"/>
        </w:numPr>
        <w:spacing w:before="100" w:beforeAutospacing="1" w:after="100" w:afterAutospacing="1"/>
        <w:rPr>
          <w:rFonts w:eastAsia="Times New Roman"/>
        </w:rPr>
      </w:pPr>
      <w:r>
        <w:rPr>
          <w:rFonts w:eastAsia="Times New Roman"/>
          <w:b/>
          <w:bCs/>
        </w:rPr>
        <w:t xml:space="preserve">and in a Proceeding to obtain a distribution of marital property following a foreign divorce. </w:t>
      </w:r>
    </w:p>
    <w:p w:rsidR="00000000" w:rsidRDefault="00BC410B">
      <w:pPr>
        <w:numPr>
          <w:ilvl w:val="0"/>
          <w:numId w:val="1"/>
        </w:numPr>
        <w:spacing w:before="100" w:beforeAutospacing="1" w:after="100" w:afterAutospacing="1"/>
        <w:rPr>
          <w:rFonts w:eastAsia="Times New Roman"/>
        </w:rPr>
      </w:pPr>
      <w:r>
        <w:rPr>
          <w:rFonts w:eastAsia="Times New Roman"/>
          <w:b/>
          <w:bCs/>
        </w:rPr>
        <w:t>What is the Court</w:t>
      </w:r>
      <w:r>
        <w:rPr>
          <w:rFonts w:eastAsia="Times New Roman"/>
          <w:b/>
          <w:bCs/>
        </w:rPr>
        <w:t xml:space="preserve"> required to do? </w:t>
      </w:r>
    </w:p>
    <w:p w:rsidR="00000000" w:rsidRDefault="00BC410B">
      <w:pPr>
        <w:pStyle w:val="Heading4"/>
        <w:numPr>
          <w:ilvl w:val="1"/>
          <w:numId w:val="1"/>
        </w:numPr>
        <w:rPr>
          <w:rFonts w:eastAsia="Times New Roman"/>
        </w:rPr>
      </w:pPr>
      <w:r>
        <w:rPr>
          <w:rFonts w:eastAsia="Times New Roman"/>
        </w:rPr>
        <w:t xml:space="preserve">The court is required to determine the respective rights of the parties in separate and marital property and provide for disposition of such property in the final judgment. </w:t>
      </w:r>
    </w:p>
    <w:p w:rsidR="00000000" w:rsidRDefault="00BC410B">
      <w:pPr>
        <w:numPr>
          <w:ilvl w:val="0"/>
          <w:numId w:val="1"/>
        </w:numPr>
        <w:spacing w:before="100" w:beforeAutospacing="1" w:after="100" w:afterAutospacing="1"/>
        <w:rPr>
          <w:rFonts w:eastAsia="Times New Roman"/>
        </w:rPr>
      </w:pPr>
      <w:r>
        <w:rPr>
          <w:rFonts w:eastAsia="Times New Roman"/>
          <w:b/>
          <w:bCs/>
        </w:rPr>
        <w:t xml:space="preserve">How is property to be distributed? </w:t>
      </w:r>
    </w:p>
    <w:p w:rsidR="00000000" w:rsidRDefault="00BC410B">
      <w:pPr>
        <w:numPr>
          <w:ilvl w:val="1"/>
          <w:numId w:val="1"/>
        </w:numPr>
        <w:spacing w:before="100" w:beforeAutospacing="1" w:after="100" w:afterAutospacing="1"/>
        <w:rPr>
          <w:rFonts w:eastAsia="Times New Roman"/>
        </w:rPr>
      </w:pPr>
      <w:r>
        <w:rPr>
          <w:rFonts w:eastAsia="Times New Roman"/>
        </w:rPr>
        <w:t> </w:t>
      </w:r>
    </w:p>
    <w:p w:rsidR="00000000" w:rsidRDefault="00BC410B">
      <w:pPr>
        <w:numPr>
          <w:ilvl w:val="1"/>
          <w:numId w:val="1"/>
        </w:numPr>
        <w:spacing w:before="100" w:beforeAutospacing="1" w:after="100" w:afterAutospacing="1"/>
        <w:rPr>
          <w:rFonts w:eastAsia="Times New Roman"/>
        </w:rPr>
      </w:pPr>
      <w:r>
        <w:rPr>
          <w:rFonts w:eastAsia="Times New Roman"/>
          <w:b/>
          <w:bCs/>
        </w:rPr>
        <w:t xml:space="preserve">Separate property remains </w:t>
      </w:r>
      <w:r>
        <w:rPr>
          <w:rFonts w:eastAsia="Times New Roman"/>
          <w:b/>
          <w:bCs/>
        </w:rPr>
        <w:t xml:space="preserve">separate; </w:t>
      </w:r>
    </w:p>
    <w:p w:rsidR="00000000" w:rsidRDefault="00BC410B">
      <w:pPr>
        <w:numPr>
          <w:ilvl w:val="1"/>
          <w:numId w:val="1"/>
        </w:numPr>
        <w:spacing w:before="100" w:beforeAutospacing="1" w:after="100" w:afterAutospacing="1"/>
        <w:rPr>
          <w:rFonts w:eastAsia="Times New Roman"/>
        </w:rPr>
      </w:pPr>
      <w:r>
        <w:rPr>
          <w:rFonts w:eastAsia="Times New Roman"/>
          <w:b/>
          <w:bCs/>
        </w:rPr>
        <w:t xml:space="preserve">Marital property must be distributed equitably between the parties, considering the circumstances of the case and of the respective parties. </w:t>
      </w:r>
    </w:p>
    <w:p w:rsidR="00000000" w:rsidRDefault="00BC410B">
      <w:pPr>
        <w:numPr>
          <w:ilvl w:val="0"/>
          <w:numId w:val="1"/>
        </w:numPr>
        <w:spacing w:before="100" w:beforeAutospacing="1" w:after="100" w:afterAutospacing="1"/>
        <w:rPr>
          <w:rFonts w:eastAsia="Times New Roman"/>
        </w:rPr>
      </w:pPr>
      <w:r>
        <w:rPr>
          <w:rFonts w:eastAsia="Times New Roman"/>
          <w:b/>
          <w:bCs/>
        </w:rPr>
        <w:t xml:space="preserve">What is Marital Property? </w:t>
      </w:r>
    </w:p>
    <w:p w:rsidR="00000000" w:rsidRDefault="00BC410B">
      <w:pPr>
        <w:pStyle w:val="Heading4"/>
        <w:ind w:left="720"/>
        <w:rPr>
          <w:rFonts w:eastAsia="Times New Roman"/>
        </w:rPr>
      </w:pPr>
      <w:r>
        <w:rPr>
          <w:rFonts w:eastAsia="Times New Roman"/>
        </w:rPr>
        <w:t xml:space="preserve">Marital property is all property acquired by either or both parties: </w:t>
      </w:r>
    </w:p>
    <w:p w:rsidR="00000000" w:rsidRDefault="00BC410B">
      <w:pPr>
        <w:numPr>
          <w:ilvl w:val="1"/>
          <w:numId w:val="1"/>
        </w:numPr>
        <w:spacing w:before="100" w:beforeAutospacing="1" w:after="100" w:afterAutospacing="1"/>
        <w:rPr>
          <w:rFonts w:eastAsia="Times New Roman"/>
        </w:rPr>
      </w:pPr>
      <w:r>
        <w:rPr>
          <w:rFonts w:eastAsia="Times New Roman"/>
          <w:b/>
          <w:bCs/>
        </w:rPr>
        <w:t>During</w:t>
      </w:r>
      <w:r>
        <w:rPr>
          <w:rFonts w:eastAsia="Times New Roman"/>
          <w:b/>
          <w:bCs/>
        </w:rPr>
        <w:t xml:space="preserve"> the marriage; </w:t>
      </w:r>
    </w:p>
    <w:p w:rsidR="00000000" w:rsidRDefault="00BC410B">
      <w:pPr>
        <w:numPr>
          <w:ilvl w:val="1"/>
          <w:numId w:val="1"/>
        </w:numPr>
        <w:spacing w:before="100" w:beforeAutospacing="1" w:after="100" w:afterAutospacing="1"/>
        <w:rPr>
          <w:rFonts w:eastAsia="Times New Roman"/>
        </w:rPr>
      </w:pPr>
      <w:r>
        <w:rPr>
          <w:rFonts w:eastAsia="Times New Roman"/>
          <w:b/>
          <w:bCs/>
        </w:rPr>
        <w:t xml:space="preserve">Before execution of a separation agreement; </w:t>
      </w:r>
    </w:p>
    <w:p w:rsidR="00000000" w:rsidRDefault="00BC410B">
      <w:pPr>
        <w:numPr>
          <w:ilvl w:val="1"/>
          <w:numId w:val="1"/>
        </w:numPr>
        <w:spacing w:before="100" w:beforeAutospacing="1" w:after="100" w:afterAutospacing="1"/>
        <w:rPr>
          <w:rFonts w:eastAsia="Times New Roman"/>
        </w:rPr>
      </w:pPr>
      <w:r>
        <w:rPr>
          <w:rFonts w:eastAsia="Times New Roman"/>
          <w:b/>
          <w:bCs/>
        </w:rPr>
        <w:t xml:space="preserve">Before commencement of a matrimonial action; </w:t>
      </w:r>
    </w:p>
    <w:p w:rsidR="00000000" w:rsidRDefault="00BC410B">
      <w:pPr>
        <w:numPr>
          <w:ilvl w:val="1"/>
          <w:numId w:val="1"/>
        </w:numPr>
        <w:spacing w:before="100" w:beforeAutospacing="1" w:after="100" w:afterAutospacing="1"/>
        <w:rPr>
          <w:rFonts w:eastAsia="Times New Roman"/>
        </w:rPr>
      </w:pPr>
      <w:r>
        <w:rPr>
          <w:rFonts w:eastAsia="Times New Roman"/>
          <w:b/>
          <w:bCs/>
        </w:rPr>
        <w:t xml:space="preserve">Regardless of the form in which its title is held. </w:t>
      </w:r>
    </w:p>
    <w:p w:rsidR="00000000" w:rsidRDefault="00BC410B">
      <w:pPr>
        <w:numPr>
          <w:ilvl w:val="0"/>
          <w:numId w:val="1"/>
        </w:numPr>
        <w:spacing w:before="100" w:beforeAutospacing="1" w:after="100" w:afterAutospacing="1"/>
        <w:rPr>
          <w:rFonts w:eastAsia="Times New Roman"/>
        </w:rPr>
      </w:pPr>
      <w:r>
        <w:rPr>
          <w:rFonts w:eastAsia="Times New Roman"/>
          <w:b/>
          <w:bCs/>
        </w:rPr>
        <w:t xml:space="preserve">Are there any exceptions to the definition of Marital Property? </w:t>
      </w:r>
    </w:p>
    <w:p w:rsidR="00000000" w:rsidRDefault="00BC410B">
      <w:pPr>
        <w:pStyle w:val="Heading4"/>
        <w:ind w:left="720"/>
        <w:rPr>
          <w:rFonts w:eastAsia="Times New Roman"/>
        </w:rPr>
      </w:pPr>
      <w:r>
        <w:rPr>
          <w:rFonts w:eastAsia="Times New Roman"/>
        </w:rPr>
        <w:t xml:space="preserve">Yes, it </w:t>
      </w:r>
    </w:p>
    <w:p w:rsidR="00000000" w:rsidRDefault="00BC410B">
      <w:pPr>
        <w:numPr>
          <w:ilvl w:val="1"/>
          <w:numId w:val="1"/>
        </w:numPr>
        <w:spacing w:before="100" w:beforeAutospacing="1" w:after="100" w:afterAutospacing="1"/>
        <w:rPr>
          <w:rFonts w:eastAsia="Times New Roman"/>
        </w:rPr>
      </w:pPr>
      <w:r>
        <w:rPr>
          <w:rFonts w:eastAsia="Times New Roman"/>
          <w:b/>
          <w:bCs/>
        </w:rPr>
        <w:t xml:space="preserve">Does not include property provided for in a written agreement; </w:t>
      </w:r>
    </w:p>
    <w:p w:rsidR="00000000" w:rsidRDefault="00BC410B">
      <w:pPr>
        <w:numPr>
          <w:ilvl w:val="1"/>
          <w:numId w:val="1"/>
        </w:numPr>
        <w:spacing w:before="100" w:beforeAutospacing="1" w:after="100" w:afterAutospacing="1"/>
        <w:rPr>
          <w:rFonts w:eastAsia="Times New Roman"/>
        </w:rPr>
      </w:pPr>
      <w:r>
        <w:rPr>
          <w:rFonts w:eastAsia="Times New Roman"/>
          <w:b/>
          <w:bCs/>
        </w:rPr>
        <w:t xml:space="preserve">Does not include separate property. </w:t>
      </w:r>
    </w:p>
    <w:p w:rsidR="00000000" w:rsidRDefault="00BC410B">
      <w:pPr>
        <w:pStyle w:val="NormalWeb"/>
        <w:ind w:left="720"/>
      </w:pPr>
      <w:r>
        <w:t> </w:t>
      </w:r>
    </w:p>
    <w:p w:rsidR="00000000" w:rsidRDefault="00BC410B">
      <w:pPr>
        <w:numPr>
          <w:ilvl w:val="0"/>
          <w:numId w:val="1"/>
        </w:numPr>
        <w:spacing w:before="100" w:beforeAutospacing="1" w:after="100" w:afterAutospacing="1"/>
        <w:rPr>
          <w:rFonts w:eastAsia="Times New Roman"/>
        </w:rPr>
      </w:pPr>
      <w:r>
        <w:rPr>
          <w:rFonts w:eastAsia="Times New Roman"/>
          <w:b/>
          <w:bCs/>
        </w:rPr>
        <w:t>What is "Separate Property"?</w:t>
      </w:r>
    </w:p>
    <w:p w:rsidR="00000000" w:rsidRDefault="00BC410B">
      <w:pPr>
        <w:pStyle w:val="Heading4"/>
        <w:ind w:left="720"/>
        <w:rPr>
          <w:rFonts w:eastAsia="Times New Roman"/>
        </w:rPr>
      </w:pPr>
      <w:r>
        <w:rPr>
          <w:rFonts w:eastAsia="Times New Roman"/>
        </w:rPr>
        <w:lastRenderedPageBreak/>
        <w:t xml:space="preserve">Separate property is : </w:t>
      </w:r>
    </w:p>
    <w:p w:rsidR="00000000" w:rsidRDefault="00BC410B">
      <w:pPr>
        <w:numPr>
          <w:ilvl w:val="1"/>
          <w:numId w:val="1"/>
        </w:numPr>
        <w:spacing w:before="100" w:beforeAutospacing="1" w:after="100" w:afterAutospacing="1"/>
        <w:rPr>
          <w:rFonts w:eastAsia="Times New Roman"/>
        </w:rPr>
      </w:pPr>
      <w:r>
        <w:rPr>
          <w:rFonts w:eastAsia="Times New Roman"/>
          <w:b/>
          <w:bCs/>
        </w:rPr>
        <w:t xml:space="preserve">Property acquired before marriage; </w:t>
      </w:r>
    </w:p>
    <w:p w:rsidR="00000000" w:rsidRDefault="00BC410B">
      <w:pPr>
        <w:numPr>
          <w:ilvl w:val="1"/>
          <w:numId w:val="1"/>
        </w:numPr>
        <w:spacing w:before="100" w:beforeAutospacing="1" w:after="100" w:afterAutospacing="1"/>
        <w:rPr>
          <w:rFonts w:eastAsia="Times New Roman"/>
        </w:rPr>
      </w:pPr>
      <w:r>
        <w:rPr>
          <w:rFonts w:eastAsia="Times New Roman"/>
          <w:b/>
          <w:bCs/>
        </w:rPr>
        <w:t>Property acquired by bequest, devise, descent or gift from a par</w:t>
      </w:r>
      <w:r>
        <w:rPr>
          <w:rFonts w:eastAsia="Times New Roman"/>
          <w:b/>
          <w:bCs/>
        </w:rPr>
        <w:t xml:space="preserve">ty other than the spouse; </w:t>
      </w:r>
    </w:p>
    <w:p w:rsidR="00000000" w:rsidRDefault="00BC410B">
      <w:pPr>
        <w:numPr>
          <w:ilvl w:val="1"/>
          <w:numId w:val="1"/>
        </w:numPr>
        <w:spacing w:before="100" w:beforeAutospacing="1" w:after="100" w:afterAutospacing="1"/>
        <w:rPr>
          <w:rFonts w:eastAsia="Times New Roman"/>
        </w:rPr>
      </w:pPr>
      <w:r>
        <w:rPr>
          <w:rFonts w:eastAsia="Times New Roman"/>
          <w:b/>
          <w:bCs/>
        </w:rPr>
        <w:t xml:space="preserve">Compensation for personal injuries; </w:t>
      </w:r>
    </w:p>
    <w:p w:rsidR="00000000" w:rsidRDefault="00BC410B">
      <w:pPr>
        <w:numPr>
          <w:ilvl w:val="1"/>
          <w:numId w:val="1"/>
        </w:numPr>
        <w:spacing w:before="100" w:beforeAutospacing="1" w:after="100" w:afterAutospacing="1"/>
        <w:rPr>
          <w:rFonts w:eastAsia="Times New Roman"/>
        </w:rPr>
      </w:pPr>
      <w:r>
        <w:rPr>
          <w:rFonts w:eastAsia="Times New Roman"/>
          <w:b/>
          <w:bCs/>
        </w:rPr>
        <w:t xml:space="preserve">Property acquired in exchange for or the increase in value of separate property; </w:t>
      </w:r>
    </w:p>
    <w:p w:rsidR="00000000" w:rsidRDefault="00BC410B">
      <w:pPr>
        <w:numPr>
          <w:ilvl w:val="1"/>
          <w:numId w:val="1"/>
        </w:numPr>
        <w:spacing w:before="100" w:beforeAutospacing="1" w:after="100" w:afterAutospacing="1"/>
        <w:rPr>
          <w:rFonts w:eastAsia="Times New Roman"/>
        </w:rPr>
      </w:pPr>
      <w:r>
        <w:rPr>
          <w:rFonts w:eastAsia="Times New Roman"/>
          <w:b/>
          <w:bCs/>
        </w:rPr>
        <w:t xml:space="preserve">Property described as separate property pursuant to written agreement of the parties; </w:t>
      </w:r>
    </w:p>
    <w:p w:rsidR="00000000" w:rsidRDefault="00BC410B">
      <w:pPr>
        <w:numPr>
          <w:ilvl w:val="0"/>
          <w:numId w:val="1"/>
        </w:numPr>
        <w:spacing w:before="100" w:beforeAutospacing="1" w:after="100" w:afterAutospacing="1"/>
        <w:rPr>
          <w:rFonts w:eastAsia="Times New Roman"/>
        </w:rPr>
      </w:pPr>
      <w:r>
        <w:rPr>
          <w:rFonts w:eastAsia="Times New Roman"/>
          <w:b/>
          <w:bCs/>
        </w:rPr>
        <w:t>Are there any exception</w:t>
      </w:r>
      <w:r>
        <w:rPr>
          <w:rFonts w:eastAsia="Times New Roman"/>
          <w:b/>
          <w:bCs/>
        </w:rPr>
        <w:t xml:space="preserve">s to the definition of separate property? </w:t>
      </w:r>
    </w:p>
    <w:p w:rsidR="00000000" w:rsidRDefault="00BC410B">
      <w:pPr>
        <w:pStyle w:val="Heading4"/>
        <w:numPr>
          <w:ilvl w:val="1"/>
          <w:numId w:val="1"/>
        </w:numPr>
        <w:rPr>
          <w:rFonts w:eastAsia="Times New Roman"/>
        </w:rPr>
      </w:pPr>
      <w:r>
        <w:rPr>
          <w:rFonts w:eastAsia="Times New Roman"/>
        </w:rPr>
        <w:t>Yes there is an exception for the increase in the value of separate property (or property acquired in exchange for separate property), to the extent that the appreciation is due in part to the contributions or eff</w:t>
      </w:r>
      <w:r>
        <w:rPr>
          <w:rFonts w:eastAsia="Times New Roman"/>
        </w:rPr>
        <w:t xml:space="preserve">orts of the other spouse. </w:t>
      </w:r>
    </w:p>
    <w:p w:rsidR="00000000" w:rsidRDefault="00BC410B">
      <w:pPr>
        <w:numPr>
          <w:ilvl w:val="0"/>
          <w:numId w:val="1"/>
        </w:numPr>
        <w:spacing w:before="100" w:beforeAutospacing="1" w:after="100" w:afterAutospacing="1"/>
        <w:rPr>
          <w:rFonts w:eastAsia="Times New Roman"/>
        </w:rPr>
      </w:pPr>
      <w:r>
        <w:rPr>
          <w:rFonts w:eastAsia="Times New Roman"/>
          <w:b/>
          <w:bCs/>
        </w:rPr>
        <w:t xml:space="preserve">What is a Distributive Award? </w:t>
      </w:r>
    </w:p>
    <w:p w:rsidR="00000000" w:rsidRDefault="00BC410B">
      <w:pPr>
        <w:pStyle w:val="Heading4"/>
        <w:ind w:left="720"/>
        <w:rPr>
          <w:rFonts w:eastAsia="Times New Roman"/>
        </w:rPr>
      </w:pPr>
      <w:r>
        <w:rPr>
          <w:rFonts w:eastAsia="Times New Roman"/>
        </w:rPr>
        <w:t xml:space="preserve">A distributive award is payments: </w:t>
      </w:r>
    </w:p>
    <w:p w:rsidR="00000000" w:rsidRDefault="00BC410B">
      <w:pPr>
        <w:numPr>
          <w:ilvl w:val="1"/>
          <w:numId w:val="1"/>
        </w:numPr>
        <w:spacing w:before="100" w:beforeAutospacing="1" w:after="100" w:afterAutospacing="1"/>
        <w:rPr>
          <w:rFonts w:eastAsia="Times New Roman"/>
        </w:rPr>
      </w:pPr>
      <w:r>
        <w:rPr>
          <w:rFonts w:eastAsia="Times New Roman"/>
          <w:b/>
          <w:bCs/>
        </w:rPr>
        <w:t xml:space="preserve">Provided for in a valid agreement between the parties; or </w:t>
      </w:r>
    </w:p>
    <w:p w:rsidR="00000000" w:rsidRDefault="00BC410B">
      <w:pPr>
        <w:numPr>
          <w:ilvl w:val="1"/>
          <w:numId w:val="1"/>
        </w:numPr>
        <w:spacing w:before="100" w:beforeAutospacing="1" w:after="100" w:afterAutospacing="1"/>
        <w:rPr>
          <w:rFonts w:eastAsia="Times New Roman"/>
        </w:rPr>
      </w:pPr>
      <w:r>
        <w:rPr>
          <w:rFonts w:eastAsia="Times New Roman"/>
          <w:b/>
          <w:bCs/>
        </w:rPr>
        <w:t xml:space="preserve">Awarded by the Court; or </w:t>
      </w:r>
    </w:p>
    <w:p w:rsidR="00000000" w:rsidRDefault="00BC410B">
      <w:pPr>
        <w:numPr>
          <w:ilvl w:val="1"/>
          <w:numId w:val="1"/>
        </w:numPr>
        <w:spacing w:before="100" w:beforeAutospacing="1" w:after="100" w:afterAutospacing="1"/>
        <w:rPr>
          <w:rFonts w:eastAsia="Times New Roman"/>
        </w:rPr>
      </w:pPr>
      <w:r>
        <w:rPr>
          <w:rFonts w:eastAsia="Times New Roman"/>
          <w:b/>
          <w:bCs/>
        </w:rPr>
        <w:t>In lieu of or to supplement of facilitate or effectuate the division or distri</w:t>
      </w:r>
      <w:r>
        <w:rPr>
          <w:rFonts w:eastAsia="Times New Roman"/>
          <w:b/>
          <w:bCs/>
        </w:rPr>
        <w:t xml:space="preserve">bution of property in a matrimonial action; </w:t>
      </w:r>
    </w:p>
    <w:p w:rsidR="00000000" w:rsidRDefault="00BC410B">
      <w:pPr>
        <w:numPr>
          <w:ilvl w:val="1"/>
          <w:numId w:val="1"/>
        </w:numPr>
        <w:spacing w:before="100" w:beforeAutospacing="1" w:after="100" w:afterAutospacing="1"/>
        <w:rPr>
          <w:rFonts w:eastAsia="Times New Roman"/>
        </w:rPr>
      </w:pPr>
      <w:r>
        <w:rPr>
          <w:rFonts w:eastAsia="Times New Roman"/>
          <w:b/>
          <w:bCs/>
        </w:rPr>
        <w:t xml:space="preserve">Payable to either party; </w:t>
      </w:r>
    </w:p>
    <w:p w:rsidR="00000000" w:rsidRDefault="00BC410B">
      <w:pPr>
        <w:numPr>
          <w:ilvl w:val="1"/>
          <w:numId w:val="1"/>
        </w:numPr>
        <w:spacing w:before="100" w:beforeAutospacing="1" w:after="100" w:afterAutospacing="1"/>
        <w:rPr>
          <w:rFonts w:eastAsia="Times New Roman"/>
        </w:rPr>
      </w:pPr>
      <w:r>
        <w:rPr>
          <w:rFonts w:eastAsia="Times New Roman"/>
          <w:b/>
          <w:bCs/>
        </w:rPr>
        <w:t xml:space="preserve">In a lump sum or over a period of time in fixed amounts; </w:t>
      </w:r>
    </w:p>
    <w:p w:rsidR="00000000" w:rsidRDefault="00BC410B">
      <w:pPr>
        <w:numPr>
          <w:ilvl w:val="0"/>
          <w:numId w:val="1"/>
        </w:numPr>
        <w:spacing w:before="100" w:beforeAutospacing="1" w:after="100" w:afterAutospacing="1"/>
        <w:rPr>
          <w:rFonts w:eastAsia="Times New Roman"/>
        </w:rPr>
      </w:pPr>
      <w:r>
        <w:rPr>
          <w:rFonts w:eastAsia="Times New Roman"/>
          <w:b/>
          <w:bCs/>
        </w:rPr>
        <w:t xml:space="preserve">Are there any exceptions to the definition of a Distributive Award? </w:t>
      </w:r>
    </w:p>
    <w:p w:rsidR="00000000" w:rsidRDefault="00BC410B">
      <w:pPr>
        <w:pStyle w:val="Heading4"/>
        <w:numPr>
          <w:ilvl w:val="1"/>
          <w:numId w:val="1"/>
        </w:numPr>
        <w:rPr>
          <w:rFonts w:eastAsia="Times New Roman"/>
        </w:rPr>
      </w:pPr>
      <w:r>
        <w:rPr>
          <w:rFonts w:eastAsia="Times New Roman"/>
        </w:rPr>
        <w:t>Yes, it does not include payments which are treated as ord</w:t>
      </w:r>
      <w:r>
        <w:rPr>
          <w:rFonts w:eastAsia="Times New Roman"/>
        </w:rPr>
        <w:t xml:space="preserve">inary income under the Internal Revenue Code.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E20"/>
    <w:multiLevelType w:val="multilevel"/>
    <w:tmpl w:val="75F6E4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C410B"/>
    <w:rsid w:val="00BC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9B34C5-4B55-4F53-901E-9920ADB6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2087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EDL Definitions. New York Divorce and Family Law, the definitive site about divorce, child support and custody.</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EDL Definitions. New York Divorce and Family Law, the definitive site about divorce, child support and custody.</dc:title>
  <dc:subject/>
  <dc:creator>Joel Brandes</dc:creator>
  <cp:keywords/>
  <dc:description/>
  <cp:lastModifiedBy>Joel Brandes</cp:lastModifiedBy>
  <cp:revision>2</cp:revision>
  <dcterms:created xsi:type="dcterms:W3CDTF">2016-07-15T11:18:00Z</dcterms:created>
  <dcterms:modified xsi:type="dcterms:W3CDTF">2016-07-15T11:18:00Z</dcterms:modified>
</cp:coreProperties>
</file>