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7FBB">
      <w:pPr>
        <w:pStyle w:val="NormalWeb"/>
        <w:divId w:val="1843885709"/>
      </w:pPr>
      <w:r>
        <w:t>LAW AND THE FAMILY</w:t>
      </w:r>
    </w:p>
    <w:p w:rsidR="00000000" w:rsidRDefault="00237FBB">
      <w:pPr>
        <w:pStyle w:val="Heading2"/>
        <w:divId w:val="1843885709"/>
        <w:rPr>
          <w:rFonts w:eastAsia="Times New Roman"/>
        </w:rPr>
      </w:pPr>
      <w:r>
        <w:rPr>
          <w:rFonts w:eastAsia="Times New Roman"/>
        </w:rPr>
        <w:t xml:space="preserve">Continuing Jurisdiction Over Support Orders </w:t>
      </w:r>
    </w:p>
    <w:p w:rsidR="00000000" w:rsidRDefault="00237FBB">
      <w:pPr>
        <w:pStyle w:val="NormalWeb"/>
        <w:divId w:val="1843885709"/>
      </w:pPr>
      <w:r>
        <w:t>Joel R. Brandes</w:t>
      </w:r>
    </w:p>
    <w:p w:rsidR="00000000" w:rsidRDefault="00237FBB">
      <w:pPr>
        <w:pStyle w:val="NormalWeb"/>
        <w:divId w:val="1843885709"/>
      </w:pPr>
      <w:hyperlink r:id="rId4" w:history="1">
        <w:r>
          <w:rPr>
            <w:rStyle w:val="Hyperlink"/>
          </w:rPr>
          <w:t>New York Law Journal</w:t>
        </w:r>
      </w:hyperlink>
      <w:r>
        <w:br/>
        <w:t>May 26, 1998</w:t>
      </w:r>
    </w:p>
    <w:p w:rsidR="00000000" w:rsidRDefault="00237FBB">
      <w:pPr>
        <w:pStyle w:val="NormalWeb"/>
        <w:divId w:val="1843885709"/>
      </w:pPr>
      <w:r>
        <w:rPr>
          <w:sz w:val="72"/>
          <w:szCs w:val="72"/>
        </w:rPr>
        <w:t>T</w:t>
      </w:r>
      <w:r>
        <w:t xml:space="preserve">HE UNIFORM SUPPORT of Dependents Law (USDL), found in former </w:t>
      </w:r>
      <w:r>
        <w:t>Article 3-A of the Domestic Relations Law (DRL), was intended as a vehicle to secure support in civil proceedings for dependent spouses and children and was used primarily in interstate proceedings.</w:t>
      </w:r>
      <w:hyperlink w:anchor="bottom" w:history="1">
        <w:r>
          <w:rPr>
            <w:rStyle w:val="Hyperlink"/>
          </w:rPr>
          <w:t>1</w:t>
        </w:r>
      </w:hyperlink>
      <w:r>
        <w:t xml:space="preserve"> It was unusual in that it p</w:t>
      </w:r>
      <w:r>
        <w:t>rovided a special statutory procedure that dispensed with the hearing and physical confrontation of parties and witnesses. The proceedings were conducted in the Family Court by exchanging pleadings between comparable courts in two states, and by the exchan</w:t>
      </w:r>
      <w:r>
        <w:t>ge of interrogatories for the purposes of eliciting evidence</w:t>
      </w:r>
      <w:r>
        <w:t>.</w:t>
      </w:r>
    </w:p>
    <w:p w:rsidR="00000000" w:rsidRDefault="00237FBB">
      <w:pPr>
        <w:ind w:left="720"/>
        <w:divId w:val="1843885709"/>
        <w:rPr>
          <w:rFonts w:eastAsia="Times New Roman"/>
        </w:rPr>
      </w:pPr>
      <w:r>
        <w:rPr>
          <w:rFonts w:eastAsia="Times New Roman"/>
        </w:rPr>
        <w:t>The USDL furnished an additional or alternative civil remedy and was not intended to affect or impair any other remedy available to the petitioner.</w:t>
      </w:r>
      <w:hyperlink w:anchor="bottom" w:history="1">
        <w:r>
          <w:rPr>
            <w:rStyle w:val="Hyperlink"/>
            <w:rFonts w:eastAsia="Times New Roman"/>
          </w:rPr>
          <w:t>2</w:t>
        </w:r>
      </w:hyperlink>
      <w:r>
        <w:rPr>
          <w:rFonts w:eastAsia="Times New Roman"/>
        </w:rPr>
        <w:t xml:space="preserve"> Thus, the Family</w:t>
      </w:r>
      <w:r>
        <w:rPr>
          <w:rFonts w:eastAsia="Times New Roman"/>
        </w:rPr>
        <w:t xml:space="preserve"> Court had jurisdiction in a USDL proceeding to order a parent to make support payments, and its order would not reduce or supersede the parent's obligation to provide child support in accordance with a judgment of divorce or order of a court of another st</w:t>
      </w:r>
      <w:r>
        <w:rPr>
          <w:rFonts w:eastAsia="Times New Roman"/>
        </w:rPr>
        <w:t>ate.</w:t>
      </w:r>
      <w:hyperlink w:anchor="bottom" w:history="1">
        <w:r>
          <w:rPr>
            <w:rStyle w:val="Hyperlink"/>
            <w:rFonts w:eastAsia="Times New Roman"/>
          </w:rPr>
          <w:t>3</w:t>
        </w:r>
      </w:hyperlink>
    </w:p>
    <w:p w:rsidR="00000000" w:rsidRDefault="00237FBB">
      <w:pPr>
        <w:ind w:left="720"/>
        <w:divId w:val="1843885709"/>
        <w:rPr>
          <w:rFonts w:eastAsia="Times New Roman"/>
        </w:rPr>
      </w:pPr>
      <w:r>
        <w:rPr>
          <w:rFonts w:eastAsia="Times New Roman"/>
        </w:rPr>
        <w:t>The passage of the Personal Responsibility and Work Opportunities Reconciliation Act in 1996 signaled the demise of the USDL. It provided that, to remain eligible for the federal funding of child support enforcement, a st</w:t>
      </w:r>
      <w:r>
        <w:rPr>
          <w:rFonts w:eastAsia="Times New Roman"/>
        </w:rPr>
        <w:t>ate had to have the Uniform Interstate Family Support Act (UIFSA) in effect by Jan. 1, 1998. As a consequence, New York repealed the USDL </w:t>
      </w:r>
      <w:hyperlink w:anchor="bottom" w:history="1">
        <w:r>
          <w:rPr>
            <w:rStyle w:val="Hyperlink"/>
            <w:rFonts w:eastAsia="Times New Roman"/>
          </w:rPr>
          <w:t>4</w:t>
        </w:r>
      </w:hyperlink>
      <w:r>
        <w:rPr>
          <w:rFonts w:eastAsia="Times New Roman"/>
        </w:rPr>
        <w:t xml:space="preserve"> and adopted UIFSA as Article 5-B of the Family Court Act (FCA), effective Dec. 31, 1998</w:t>
      </w:r>
      <w:r>
        <w:rPr>
          <w:rFonts w:eastAsia="Times New Roman"/>
        </w:rPr>
        <w:t>.</w:t>
      </w:r>
      <w:hyperlink w:anchor="bottom" w:history="1">
        <w:r>
          <w:rPr>
            <w:rStyle w:val="Hyperlink"/>
            <w:rFonts w:eastAsia="Times New Roman"/>
          </w:rPr>
          <w:t>5</w:t>
        </w:r>
      </w:hyperlink>
    </w:p>
    <w:p w:rsidR="00000000" w:rsidRDefault="00237FBB">
      <w:pPr>
        <w:ind w:left="720"/>
        <w:divId w:val="1843885709"/>
        <w:rPr>
          <w:rFonts w:eastAsia="Times New Roman"/>
        </w:rPr>
      </w:pPr>
      <w:r>
        <w:rPr>
          <w:rFonts w:eastAsia="Times New Roman"/>
        </w:rPr>
        <w:t>Although some of the terminology of the USDL has been retained in UIFSA, the statutes are vastly different. One difference is the substitution of the term "tribunal" for "court." "Tribunal" means a court, administrative agen</w:t>
      </w:r>
      <w:r>
        <w:rPr>
          <w:rFonts w:eastAsia="Times New Roman"/>
        </w:rPr>
        <w:t>cy or quasi-judicial entity authorized to establish, enforce or modify support orders or to determine parentage.</w:t>
      </w:r>
      <w:hyperlink w:anchor="bottom" w:history="1">
        <w:r>
          <w:rPr>
            <w:rStyle w:val="Hyperlink"/>
            <w:rFonts w:eastAsia="Times New Roman"/>
          </w:rPr>
          <w:t>6</w:t>
        </w:r>
      </w:hyperlink>
      <w:r>
        <w:rPr>
          <w:rFonts w:eastAsia="Times New Roman"/>
        </w:rPr>
        <w:t xml:space="preserve"> The term "tribunal" was chosen because many states have created administrative agencies to perform these function</w:t>
      </w:r>
      <w:r>
        <w:rPr>
          <w:rFonts w:eastAsia="Times New Roman"/>
        </w:rPr>
        <w:t>s.</w:t>
      </w:r>
    </w:p>
    <w:p w:rsidR="00000000" w:rsidRDefault="00237FBB">
      <w:pPr>
        <w:ind w:left="720"/>
        <w:divId w:val="1843885709"/>
        <w:rPr>
          <w:rFonts w:eastAsia="Times New Roman"/>
        </w:rPr>
      </w:pPr>
      <w:r>
        <w:rPr>
          <w:rFonts w:eastAsia="Times New Roman"/>
        </w:rPr>
        <w:t>UIFSA states that "</w:t>
      </w:r>
      <w:r>
        <w:rPr>
          <w:rFonts w:eastAsia="Times New Roman"/>
          <w:i/>
          <w:iCs/>
        </w:rPr>
        <w:t>The Tribunal</w:t>
      </w:r>
      <w:r>
        <w:rPr>
          <w:rFonts w:eastAsia="Times New Roman"/>
        </w:rPr>
        <w:t xml:space="preserve"> of this state is the Family Court," and throughout UIFSA there are references to "</w:t>
      </w:r>
      <w:r>
        <w:rPr>
          <w:rFonts w:eastAsia="Times New Roman"/>
          <w:i/>
          <w:iCs/>
        </w:rPr>
        <w:t>a tribunal of this state.</w:t>
      </w:r>
      <w:r>
        <w:rPr>
          <w:rFonts w:eastAsia="Times New Roman"/>
        </w:rPr>
        <w:t xml:space="preserve">" Do not be confused. </w:t>
      </w:r>
      <w:r>
        <w:rPr>
          <w:rFonts w:eastAsia="Times New Roman"/>
          <w:i/>
          <w:iCs/>
        </w:rPr>
        <w:t xml:space="preserve">A tribunal </w:t>
      </w:r>
      <w:r>
        <w:rPr>
          <w:rFonts w:eastAsia="Times New Roman"/>
        </w:rPr>
        <w:t>refers to both the Family Court and the Supreme Court, which has concurrent juris</w:t>
      </w:r>
      <w:r>
        <w:rPr>
          <w:rFonts w:eastAsia="Times New Roman"/>
        </w:rPr>
        <w:t>diction to act in any appropriate action.</w:t>
      </w:r>
      <w:hyperlink w:anchor="bottom" w:history="1">
        <w:r>
          <w:rPr>
            <w:rStyle w:val="Hyperlink"/>
            <w:rFonts w:eastAsia="Times New Roman"/>
          </w:rPr>
          <w:t>7</w:t>
        </w:r>
      </w:hyperlink>
    </w:p>
    <w:p w:rsidR="00000000" w:rsidRDefault="00237FBB">
      <w:pPr>
        <w:ind w:left="720"/>
        <w:divId w:val="1843885709"/>
        <w:rPr>
          <w:rFonts w:eastAsia="Times New Roman"/>
          <w:b/>
          <w:bCs/>
        </w:rPr>
      </w:pPr>
      <w:r>
        <w:rPr>
          <w:rFonts w:eastAsia="Times New Roman"/>
          <w:b/>
          <w:bCs/>
        </w:rPr>
        <w:t>One Valid Order at a Time</w:t>
      </w:r>
    </w:p>
    <w:p w:rsidR="00000000" w:rsidRDefault="00237FBB">
      <w:pPr>
        <w:ind w:left="720"/>
        <w:divId w:val="1843885709"/>
        <w:rPr>
          <w:rFonts w:eastAsia="Times New Roman"/>
        </w:rPr>
      </w:pPr>
      <w:r>
        <w:rPr>
          <w:rFonts w:eastAsia="Times New Roman"/>
        </w:rPr>
        <w:t>The most significant aspect of UIFSA is that it adopts the principle of continuing, exclusive jurisdiction in an attempt to ensure that only one valid support</w:t>
      </w:r>
      <w:r>
        <w:rPr>
          <w:rFonts w:eastAsia="Times New Roman"/>
        </w:rPr>
        <w:t xml:space="preserve"> order is effective at any one time. FCA §580-204 provides that where a petition or pleading is filed commencing a proceeding in another state, the Family Court may exercise jurisdiction to make a support order only if the petition is filed before the expi</w:t>
      </w:r>
      <w:r>
        <w:rPr>
          <w:rFonts w:eastAsia="Times New Roman"/>
        </w:rPr>
        <w:t>ration of the time allowed in the other state for filing a responsive pleading challenging the exercise of jurisdiction by it; the contesting party timely challenges the exercise of jurisdiction in the other state and, if relevant, New York is the "home st</w:t>
      </w:r>
      <w:r>
        <w:rPr>
          <w:rFonts w:eastAsia="Times New Roman"/>
        </w:rPr>
        <w:t>ate" of the child.</w:t>
      </w:r>
      <w:hyperlink w:anchor="bottom" w:history="1">
        <w:r>
          <w:rPr>
            <w:rStyle w:val="Hyperlink"/>
            <w:rFonts w:eastAsia="Times New Roman"/>
          </w:rPr>
          <w:t>8</w:t>
        </w:r>
      </w:hyperlink>
    </w:p>
    <w:p w:rsidR="00000000" w:rsidRDefault="00237FBB">
      <w:pPr>
        <w:ind w:left="720"/>
        <w:divId w:val="1843885709"/>
        <w:rPr>
          <w:rFonts w:eastAsia="Times New Roman"/>
        </w:rPr>
      </w:pPr>
      <w:r>
        <w:rPr>
          <w:rFonts w:eastAsia="Times New Roman"/>
        </w:rPr>
        <w:t>The Family Court may not exercise jurisdiction to make a support order where the petition is filed in New York before a petition or comparable pleading is filed in another state, if the pleading in the other</w:t>
      </w:r>
      <w:r>
        <w:rPr>
          <w:rFonts w:eastAsia="Times New Roman"/>
        </w:rPr>
        <w:t xml:space="preserve"> state is filed before the expiration of the time allowed in New York for filing a responsive pleading challenging the exercise of jurisdiction by New York; the contesting party timely challenges the exercise of jurisdiction in New York and, if relevant, t</w:t>
      </w:r>
      <w:r>
        <w:rPr>
          <w:rFonts w:eastAsia="Times New Roman"/>
        </w:rPr>
        <w:t>he other state is the "home state" of the child.</w:t>
      </w:r>
      <w:hyperlink w:anchor="bottom" w:history="1">
        <w:r>
          <w:rPr>
            <w:rStyle w:val="Hyperlink"/>
            <w:rFonts w:eastAsia="Times New Roman"/>
          </w:rPr>
          <w:t>9</w:t>
        </w:r>
      </w:hyperlink>
    </w:p>
    <w:p w:rsidR="00000000" w:rsidRDefault="00237FBB">
      <w:pPr>
        <w:ind w:left="720"/>
        <w:divId w:val="1843885709"/>
        <w:rPr>
          <w:rFonts w:eastAsia="Times New Roman"/>
        </w:rPr>
      </w:pPr>
      <w:r>
        <w:rPr>
          <w:rFonts w:eastAsia="Times New Roman"/>
        </w:rPr>
        <w:t>This concept is similar to that in the federal Parental Kidnapping Prevention Act,</w:t>
      </w:r>
      <w:hyperlink w:anchor="bottom" w:history="1">
        <w:r>
          <w:rPr>
            <w:rStyle w:val="Hyperlink"/>
            <w:rFonts w:eastAsia="Times New Roman"/>
          </w:rPr>
          <w:t>10</w:t>
        </w:r>
      </w:hyperlink>
      <w:r>
        <w:rPr>
          <w:rFonts w:eastAsia="Times New Roman"/>
        </w:rPr>
        <w:t xml:space="preserve"> which gives the "home state" of the child a priority in establi</w:t>
      </w:r>
      <w:r>
        <w:rPr>
          <w:rFonts w:eastAsia="Times New Roman"/>
        </w:rPr>
        <w:t>shing jurisdiction. UIFSA attempts to resolve disputes between competing jurisdictions by establishing a priority for the tribunal in the child's home state.</w:t>
      </w:r>
    </w:p>
    <w:p w:rsidR="00000000" w:rsidRDefault="00237FBB">
      <w:pPr>
        <w:ind w:left="720"/>
        <w:divId w:val="1843885709"/>
        <w:rPr>
          <w:rFonts w:eastAsia="Times New Roman"/>
        </w:rPr>
      </w:pPr>
      <w:r>
        <w:rPr>
          <w:rFonts w:eastAsia="Times New Roman"/>
        </w:rPr>
        <w:t>"Home State" means the state in which a child lived with a parent or a person acting as parent for</w:t>
      </w:r>
      <w:r>
        <w:rPr>
          <w:rFonts w:eastAsia="Times New Roman"/>
        </w:rPr>
        <w:t xml:space="preserve"> at least six consecutive months immediately before that filing of a petition or comparable pleading for support and, if a child is less than 6 months old, the state in which the child lived from birth with either of them. A period of temporary absence of </w:t>
      </w:r>
      <w:r>
        <w:rPr>
          <w:rFonts w:eastAsia="Times New Roman"/>
        </w:rPr>
        <w:t xml:space="preserve">either of them is counted as part of the six-month or other period. </w:t>
      </w:r>
      <w:hyperlink w:anchor="bottom" w:history="1">
        <w:r>
          <w:rPr>
            <w:rStyle w:val="Hyperlink"/>
            <w:rFonts w:eastAsia="Times New Roman"/>
          </w:rPr>
          <w:t>11</w:t>
        </w:r>
      </w:hyperlink>
      <w:r>
        <w:rPr>
          <w:rFonts w:eastAsia="Times New Roman"/>
        </w:rPr>
        <w:t xml:space="preserve"> If the child has no home state, the state of "first filing" has priority.</w:t>
      </w:r>
    </w:p>
    <w:p w:rsidR="00000000" w:rsidRDefault="00237FBB">
      <w:pPr>
        <w:ind w:left="720"/>
        <w:divId w:val="1843885709"/>
        <w:rPr>
          <w:rFonts w:eastAsia="Times New Roman"/>
        </w:rPr>
      </w:pPr>
      <w:r>
        <w:rPr>
          <w:rFonts w:eastAsia="Times New Roman"/>
        </w:rPr>
        <w:t>FCA §580-205 contains rules for resolving actions pending in two or more states. T</w:t>
      </w:r>
      <w:r>
        <w:rPr>
          <w:rFonts w:eastAsia="Times New Roman"/>
        </w:rPr>
        <w:t>he issuing tribunal retains continuing, exclusive jurisdiction over a child support order, except in limited circumstances. If a New York tribunal issues a support order consistent with New York law, it has continuing, exclusive jurisdiction over the order</w:t>
      </w:r>
      <w:r>
        <w:rPr>
          <w:rFonts w:eastAsia="Times New Roman"/>
        </w:rPr>
        <w:t xml:space="preserve"> as long as one of the individual parties or the child continues to reside in New York</w:t>
      </w:r>
      <w:hyperlink w:anchor="bottom" w:history="1">
        <w:r>
          <w:rPr>
            <w:rStyle w:val="Hyperlink"/>
            <w:rFonts w:eastAsia="Times New Roman"/>
          </w:rPr>
          <w:t>12</w:t>
        </w:r>
      </w:hyperlink>
      <w:r>
        <w:rPr>
          <w:rFonts w:eastAsia="Times New Roman"/>
        </w:rPr>
        <w:t xml:space="preserve"> and so long as the parties have not filed written consents to the contrary with the Family Court.</w:t>
      </w:r>
      <w:hyperlink w:anchor="bottom" w:history="1">
        <w:r>
          <w:rPr>
            <w:rStyle w:val="Hyperlink"/>
            <w:rFonts w:eastAsia="Times New Roman"/>
          </w:rPr>
          <w:t>13</w:t>
        </w:r>
      </w:hyperlink>
    </w:p>
    <w:p w:rsidR="00000000" w:rsidRDefault="00237FBB">
      <w:pPr>
        <w:ind w:left="720"/>
        <w:divId w:val="1843885709"/>
        <w:rPr>
          <w:rFonts w:eastAsia="Times New Roman"/>
        </w:rPr>
      </w:pPr>
      <w:r>
        <w:rPr>
          <w:rFonts w:eastAsia="Times New Roman"/>
        </w:rPr>
        <w:t>If the ob</w:t>
      </w:r>
      <w:r>
        <w:rPr>
          <w:rFonts w:eastAsia="Times New Roman"/>
        </w:rPr>
        <w:t>ligor, the individual obligee and the child have permanently left New York, Family Court no longer has jurisdiction to modify its own child support order. However, the New York order remains in effect until it is modified in accordance with the terms of FC</w:t>
      </w:r>
      <w:r>
        <w:rPr>
          <w:rFonts w:eastAsia="Times New Roman"/>
        </w:rPr>
        <w:t>A §§580-609 to 580-614. Thus, New York may lose its continuing, exclusive jurisdiction to modify its order if the parties file a written consent for another state to assume jurisdiction to modify it, even though one of the parties or the child continues to</w:t>
      </w:r>
      <w:r>
        <w:rPr>
          <w:rFonts w:eastAsia="Times New Roman"/>
        </w:rPr>
        <w:t xml:space="preserve"> reside in the New York.</w:t>
      </w:r>
      <w:hyperlink w:anchor="bottom" w:history="1">
        <w:r>
          <w:rPr>
            <w:rStyle w:val="Hyperlink"/>
            <w:rFonts w:eastAsia="Times New Roman"/>
          </w:rPr>
          <w:t>14</w:t>
        </w:r>
      </w:hyperlink>
    </w:p>
    <w:p w:rsidR="00000000" w:rsidRDefault="00237FBB">
      <w:pPr>
        <w:ind w:left="720"/>
        <w:divId w:val="1843885709"/>
        <w:rPr>
          <w:rFonts w:eastAsia="Times New Roman"/>
        </w:rPr>
      </w:pPr>
      <w:r>
        <w:rPr>
          <w:rFonts w:eastAsia="Times New Roman"/>
        </w:rPr>
        <w:t xml:space="preserve">Even though the family court issues a child-support order "consistent with the law of this state," it may not exercise its continuing jurisdiction to modify the order </w:t>
      </w:r>
      <w:r>
        <w:rPr>
          <w:rFonts w:eastAsia="Times New Roman"/>
        </w:rPr>
        <w:t>if the order has been modified by a tribunal of another state pursuant to UIFSA or a law substantially similar to it.</w:t>
      </w:r>
      <w:hyperlink w:anchor="bottom" w:history="1">
        <w:r>
          <w:rPr>
            <w:rStyle w:val="Hyperlink"/>
            <w:rFonts w:eastAsia="Times New Roman"/>
          </w:rPr>
          <w:t>15</w:t>
        </w:r>
      </w:hyperlink>
    </w:p>
    <w:p w:rsidR="00000000" w:rsidRDefault="00237FBB">
      <w:pPr>
        <w:ind w:left="720"/>
        <w:divId w:val="1843885709"/>
        <w:rPr>
          <w:rFonts w:eastAsia="Times New Roman"/>
        </w:rPr>
      </w:pPr>
      <w:r>
        <w:rPr>
          <w:rFonts w:eastAsia="Times New Roman"/>
        </w:rPr>
        <w:t>In such a situation, the Family Court loses its continuing, exclusive jurisdiction with regard to prospecti</w:t>
      </w:r>
      <w:r>
        <w:rPr>
          <w:rFonts w:eastAsia="Times New Roman"/>
        </w:rPr>
        <w:t>ve enforcement of its order and may only enforce the order that was modified as to amounts accruing before the modification</w:t>
      </w:r>
      <w:hyperlink w:anchor="bottom" w:history="1">
        <w:r>
          <w:rPr>
            <w:rStyle w:val="Hyperlink"/>
            <w:rFonts w:eastAsia="Times New Roman"/>
          </w:rPr>
          <w:t>16</w:t>
        </w:r>
      </w:hyperlink>
      <w:r>
        <w:rPr>
          <w:rFonts w:eastAsia="Times New Roman"/>
        </w:rPr>
        <w:t>; enforce non-modifiable aspects of that order</w:t>
      </w:r>
      <w:hyperlink w:anchor="bottom" w:history="1">
        <w:r>
          <w:rPr>
            <w:rStyle w:val="Hyperlink"/>
            <w:rFonts w:eastAsia="Times New Roman"/>
          </w:rPr>
          <w:t>17</w:t>
        </w:r>
      </w:hyperlink>
      <w:r>
        <w:rPr>
          <w:rFonts w:eastAsia="Times New Roman"/>
        </w:rPr>
        <w:t>; and provide other appro</w:t>
      </w:r>
      <w:r>
        <w:rPr>
          <w:rFonts w:eastAsia="Times New Roman"/>
        </w:rPr>
        <w:t>priate relief for violations of that order which occurred before the effective date of the modification.</w:t>
      </w:r>
      <w:hyperlink w:anchor="bottom" w:history="1">
        <w:r>
          <w:rPr>
            <w:rStyle w:val="Hyperlink"/>
            <w:rFonts w:eastAsia="Times New Roman"/>
          </w:rPr>
          <w:t>18</w:t>
        </w:r>
      </w:hyperlink>
    </w:p>
    <w:p w:rsidR="00000000" w:rsidRDefault="00237FBB">
      <w:pPr>
        <w:pStyle w:val="NormalWeb"/>
        <w:divId w:val="1843885709"/>
        <w:rPr>
          <w:b/>
          <w:bCs/>
        </w:rPr>
      </w:pPr>
      <w:r>
        <w:rPr>
          <w:b/>
          <w:bCs/>
        </w:rPr>
        <w:t>Recognizing Other Jurisdictions</w:t>
      </w:r>
    </w:p>
    <w:p w:rsidR="00000000" w:rsidRDefault="00237FBB">
      <w:pPr>
        <w:ind w:left="720"/>
        <w:divId w:val="1843885709"/>
        <w:rPr>
          <w:rFonts w:eastAsia="Times New Roman"/>
        </w:rPr>
      </w:pPr>
      <w:r>
        <w:rPr>
          <w:rFonts w:eastAsia="Times New Roman"/>
        </w:rPr>
        <w:t>The Family Court is required to recognize the continuing, exclusive jurisdiction of a tr</w:t>
      </w:r>
      <w:r>
        <w:rPr>
          <w:rFonts w:eastAsia="Times New Roman"/>
        </w:rPr>
        <w:t>ibunal of another state that has issued a child support order pursuant to UIFSA or a</w:t>
      </w:r>
    </w:p>
    <w:p w:rsidR="00000000" w:rsidRDefault="00237FBB">
      <w:pPr>
        <w:ind w:left="720"/>
        <w:divId w:val="1843885709"/>
        <w:rPr>
          <w:rFonts w:eastAsia="Times New Roman"/>
        </w:rPr>
      </w:pPr>
      <w:r>
        <w:rPr>
          <w:rFonts w:eastAsia="Times New Roman"/>
        </w:rPr>
        <w:t>law substantially similar to it.</w:t>
      </w:r>
      <w:hyperlink w:anchor="bottom" w:history="1">
        <w:r>
          <w:rPr>
            <w:rStyle w:val="Hyperlink"/>
            <w:rFonts w:eastAsia="Times New Roman"/>
          </w:rPr>
          <w:t>19</w:t>
        </w:r>
      </w:hyperlink>
      <w:r>
        <w:rPr>
          <w:rFonts w:eastAsia="Times New Roman"/>
        </w:rPr>
        <w:t xml:space="preserve"> FCA §580-102 (21) defines such an order broadly. It provides that "support order" means a judgment, decree,</w:t>
      </w:r>
      <w:r>
        <w:rPr>
          <w:rFonts w:eastAsia="Times New Roman"/>
        </w:rPr>
        <w:t xml:space="preserve"> or order, whether temporary, final, or subject to modification, for the benefit of a child, a spouse, or a former spouse, which provides for monetary support, health care, arrearages, or reimbursement. It may include related costs and fees, interest, inco</w:t>
      </w:r>
      <w:r>
        <w:rPr>
          <w:rFonts w:eastAsia="Times New Roman"/>
        </w:rPr>
        <w:t>me withholding, attorney's fees, and other relief.</w:t>
      </w:r>
      <w:hyperlink w:anchor="bottom" w:history="1">
        <w:r>
          <w:rPr>
            <w:rStyle w:val="Hyperlink"/>
            <w:rFonts w:eastAsia="Times New Roman"/>
          </w:rPr>
          <w:t>20</w:t>
        </w:r>
      </w:hyperlink>
      <w:r>
        <w:rPr>
          <w:rFonts w:eastAsia="Times New Roman"/>
        </w:rPr>
        <w:t xml:space="preserve"> However, a temporary support order issued ex parte by another state's tribunal, or pending resolution of a jurisdictional conflict, does not create continuing, exclusive juri</w:t>
      </w:r>
      <w:r>
        <w:rPr>
          <w:rFonts w:eastAsia="Times New Roman"/>
        </w:rPr>
        <w:t>sdiction in the issuing tribunal.</w:t>
      </w:r>
      <w:hyperlink w:anchor="bottom" w:history="1">
        <w:r>
          <w:rPr>
            <w:rStyle w:val="Hyperlink"/>
            <w:rFonts w:eastAsia="Times New Roman"/>
          </w:rPr>
          <w:t>21</w:t>
        </w:r>
      </w:hyperlink>
    </w:p>
    <w:p w:rsidR="00000000" w:rsidRDefault="00237FBB">
      <w:pPr>
        <w:ind w:left="720"/>
        <w:divId w:val="1843885709"/>
        <w:rPr>
          <w:rFonts w:eastAsia="Times New Roman"/>
        </w:rPr>
      </w:pPr>
      <w:r>
        <w:rPr>
          <w:rFonts w:eastAsia="Times New Roman"/>
        </w:rPr>
        <w:t>It should be noted that nothing in FCA §580-205 is intended to deprive a tribunal that has lost continuing, exclusive jurisdiction of the power to enforce arrears that have accrued during the</w:t>
      </w:r>
      <w:r>
        <w:rPr>
          <w:rFonts w:eastAsia="Times New Roman"/>
        </w:rPr>
        <w:t xml:space="preserve"> existence of a valid order.</w:t>
      </w:r>
    </w:p>
    <w:p w:rsidR="00000000" w:rsidRDefault="00237FBB">
      <w:pPr>
        <w:ind w:left="720"/>
        <w:divId w:val="1843885709"/>
        <w:rPr>
          <w:rFonts w:eastAsia="Times New Roman"/>
        </w:rPr>
      </w:pPr>
      <w:r>
        <w:rPr>
          <w:rFonts w:eastAsia="Times New Roman"/>
        </w:rPr>
        <w:t>Spousal support is treated differently. The Family Court retains continuing, exclusive jurisdiction over its spousal support order throughout the entire existence of the support obligation.</w:t>
      </w:r>
      <w:hyperlink w:anchor="bottom" w:history="1">
        <w:r>
          <w:rPr>
            <w:rStyle w:val="Hyperlink"/>
            <w:rFonts w:eastAsia="Times New Roman"/>
          </w:rPr>
          <w:t>22</w:t>
        </w:r>
      </w:hyperlink>
      <w:r>
        <w:rPr>
          <w:rFonts w:eastAsia="Times New Roman"/>
        </w:rPr>
        <w:t xml:space="preserve"> The pr</w:t>
      </w:r>
      <w:r>
        <w:rPr>
          <w:rFonts w:eastAsia="Times New Roman"/>
        </w:rPr>
        <w:t>ocedures of UIFSA are not available to another tribunal to modify an existing New York spousal support order.</w:t>
      </w:r>
    </w:p>
    <w:p w:rsidR="00000000" w:rsidRDefault="00237FBB">
      <w:pPr>
        <w:ind w:left="720"/>
        <w:divId w:val="1843885709"/>
        <w:rPr>
          <w:rFonts w:eastAsia="Times New Roman"/>
        </w:rPr>
      </w:pPr>
      <w:r>
        <w:rPr>
          <w:rFonts w:eastAsia="Times New Roman"/>
        </w:rPr>
        <w:t>This is a departure from the USDL, which treated spousal and child support orders identically. Under UIFSA, modification of spousal support is ava</w:t>
      </w:r>
      <w:r>
        <w:rPr>
          <w:rFonts w:eastAsia="Times New Roman"/>
        </w:rPr>
        <w:t>ilable only where a request for modification is initiated outside of the issuing state and a New York court modifies its order under our law.</w:t>
      </w:r>
      <w:hyperlink w:anchor="bottom" w:history="1">
        <w:r>
          <w:rPr>
            <w:rStyle w:val="Hyperlink"/>
            <w:rFonts w:eastAsia="Times New Roman"/>
          </w:rPr>
          <w:t>23</w:t>
        </w:r>
      </w:hyperlink>
    </w:p>
    <w:p w:rsidR="00000000" w:rsidRDefault="00237FBB">
      <w:pPr>
        <w:ind w:left="720"/>
        <w:divId w:val="1843885709"/>
        <w:rPr>
          <w:rFonts w:eastAsia="Times New Roman"/>
        </w:rPr>
      </w:pPr>
      <w:r>
        <w:rPr>
          <w:rFonts w:eastAsia="Times New Roman"/>
        </w:rPr>
        <w:t xml:space="preserve">A party seeking to modify a child support order issued in another state must first </w:t>
      </w:r>
      <w:r>
        <w:rPr>
          <w:rFonts w:eastAsia="Times New Roman"/>
        </w:rPr>
        <w:t>register that order in New York and may file a petition for modification at the same time, specifying the grounds for modification.</w:t>
      </w:r>
      <w:hyperlink w:anchor="bottom" w:history="1">
        <w:r>
          <w:rPr>
            <w:rStyle w:val="Hyperlink"/>
            <w:rFonts w:eastAsia="Times New Roman"/>
          </w:rPr>
          <w:t>24</w:t>
        </w:r>
      </w:hyperlink>
      <w:r>
        <w:rPr>
          <w:rFonts w:eastAsia="Times New Roman"/>
        </w:rPr>
        <w:t xml:space="preserve"> Once registered, the order may be modified only if the requirements of FCA §580-611 have been</w:t>
      </w:r>
      <w:r>
        <w:rPr>
          <w:rFonts w:eastAsia="Times New Roman"/>
        </w:rPr>
        <w:t xml:space="preserve"> met.</w:t>
      </w:r>
      <w:hyperlink w:anchor="bottom" w:history="1">
        <w:r>
          <w:rPr>
            <w:rStyle w:val="Hyperlink"/>
            <w:rFonts w:eastAsia="Times New Roman"/>
          </w:rPr>
          <w:t>25</w:t>
        </w:r>
      </w:hyperlink>
    </w:p>
    <w:p w:rsidR="00000000" w:rsidRDefault="00237FBB">
      <w:pPr>
        <w:pStyle w:val="NormalWeb"/>
        <w:divId w:val="1843885709"/>
        <w:rPr>
          <w:b/>
          <w:bCs/>
        </w:rPr>
      </w:pPr>
      <w:r>
        <w:rPr>
          <w:b/>
          <w:bCs/>
        </w:rPr>
        <w:t>Modification Rules</w:t>
      </w:r>
    </w:p>
    <w:p w:rsidR="00000000" w:rsidRDefault="00237FBB">
      <w:pPr>
        <w:ind w:left="720"/>
        <w:divId w:val="1843885709"/>
        <w:rPr>
          <w:rFonts w:eastAsia="Times New Roman"/>
        </w:rPr>
      </w:pPr>
      <w:r>
        <w:rPr>
          <w:rFonts w:eastAsia="Times New Roman"/>
        </w:rPr>
        <w:t xml:space="preserve">FCA §580-611 provides that after a child support order issued in another state has been registered in this state, the Family Court may modify that order only if §580-613 does not apply, </w:t>
      </w:r>
      <w:r>
        <w:rPr>
          <w:rFonts w:eastAsia="Times New Roman"/>
          <w:i/>
          <w:iCs/>
        </w:rPr>
        <w:t>and</w:t>
      </w:r>
      <w:r>
        <w:rPr>
          <w:rFonts w:eastAsia="Times New Roman"/>
        </w:rPr>
        <w:t xml:space="preserve"> only if, a</w:t>
      </w:r>
      <w:r>
        <w:rPr>
          <w:rFonts w:eastAsia="Times New Roman"/>
        </w:rPr>
        <w:t>fter notice and hearing, the court finds that the following requirements are met:</w:t>
      </w:r>
    </w:p>
    <w:p w:rsidR="00000000" w:rsidRDefault="00237FBB">
      <w:pPr>
        <w:ind w:left="720"/>
        <w:divId w:val="1843885709"/>
        <w:rPr>
          <w:rFonts w:eastAsia="Times New Roman"/>
        </w:rPr>
      </w:pPr>
      <w:r>
        <w:rPr>
          <w:rFonts w:eastAsia="Times New Roman"/>
        </w:rPr>
        <w:t>(1) the child, the individual obligee and the obligor do not reside in the issuing state; a petitioner who is a nonresident of New York seeks modification; and the respondent</w:t>
      </w:r>
      <w:r>
        <w:rPr>
          <w:rFonts w:eastAsia="Times New Roman"/>
        </w:rPr>
        <w:t xml:space="preserve"> is subject to the personal jurisdiction of the Family Court; or</w:t>
      </w:r>
    </w:p>
    <w:p w:rsidR="00000000" w:rsidRDefault="00237FBB">
      <w:pPr>
        <w:ind w:left="720"/>
        <w:divId w:val="1843885709"/>
        <w:rPr>
          <w:rFonts w:eastAsia="Times New Roman"/>
        </w:rPr>
      </w:pPr>
      <w:r>
        <w:rPr>
          <w:rFonts w:eastAsia="Times New Roman"/>
        </w:rPr>
        <w:t>(2) the child, or a party who is an individual, is subject to the personal jurisdiction of the Family Court and all of the parties who are individuals have filed written consents in the issui</w:t>
      </w:r>
      <w:r>
        <w:rPr>
          <w:rFonts w:eastAsia="Times New Roman"/>
        </w:rPr>
        <w:t>ng tribunal for the Family Court to modify the support order and assume continuing, exclusive jurisdiction over the order.</w:t>
      </w:r>
    </w:p>
    <w:p w:rsidR="00000000" w:rsidRDefault="00237FBB">
      <w:pPr>
        <w:ind w:left="720"/>
        <w:divId w:val="1843885709"/>
        <w:rPr>
          <w:rFonts w:eastAsia="Times New Roman"/>
        </w:rPr>
      </w:pPr>
      <w:r>
        <w:rPr>
          <w:rFonts w:eastAsia="Times New Roman"/>
        </w:rPr>
        <w:t xml:space="preserve">However, if the issuing state is a foreign jurisdiction that has not enacted a law or </w:t>
      </w:r>
      <w:r>
        <w:rPr>
          <w:rFonts w:eastAsia="Times New Roman"/>
        </w:rPr>
        <w:t>established procedures substantially similar to the procedures under UIFSA, the consent otherwise required of an individual residing in New York is not required for the tribunal to assume jurisdiction to modify the child support order.</w:t>
      </w:r>
      <w:hyperlink w:anchor="bottom" w:history="1">
        <w:r>
          <w:rPr>
            <w:rStyle w:val="Hyperlink"/>
            <w:rFonts w:eastAsia="Times New Roman"/>
          </w:rPr>
          <w:t>26</w:t>
        </w:r>
      </w:hyperlink>
    </w:p>
    <w:p w:rsidR="00000000" w:rsidRDefault="00237FBB">
      <w:pPr>
        <w:ind w:left="720"/>
        <w:divId w:val="1843885709"/>
        <w:rPr>
          <w:rFonts w:eastAsia="Times New Roman"/>
        </w:rPr>
      </w:pPr>
      <w:r>
        <w:rPr>
          <w:rFonts w:eastAsia="Times New Roman"/>
        </w:rPr>
        <w:t>FCA §580-613 provides that if all of the parties who are individuals reside in New York and the child does not reside in the issuing state, the Family Court has jurisdiction to modify the issuing state's child support order in a proceeding to re</w:t>
      </w:r>
      <w:r>
        <w:rPr>
          <w:rFonts w:eastAsia="Times New Roman"/>
        </w:rPr>
        <w:t>gister that order.</w:t>
      </w:r>
    </w:p>
    <w:p w:rsidR="00000000" w:rsidRDefault="00237FBB">
      <w:pPr>
        <w:ind w:left="720"/>
        <w:divId w:val="1843885709"/>
        <w:rPr>
          <w:rFonts w:eastAsia="Times New Roman"/>
        </w:rPr>
      </w:pPr>
      <w:r>
        <w:rPr>
          <w:rFonts w:eastAsia="Times New Roman"/>
        </w:rPr>
        <w:t>Modification of a registered child support order is subject to the same requirements, procedures and defenses that apply to the modification of an order issued by the Family Court.</w:t>
      </w:r>
      <w:hyperlink w:anchor="bottom" w:history="1">
        <w:r>
          <w:rPr>
            <w:rStyle w:val="Hyperlink"/>
            <w:rFonts w:eastAsia="Times New Roman"/>
          </w:rPr>
          <w:t>27</w:t>
        </w:r>
      </w:hyperlink>
      <w:r>
        <w:rPr>
          <w:rFonts w:eastAsia="Times New Roman"/>
        </w:rPr>
        <w:t xml:space="preserve"> Family Court may not modi</w:t>
      </w:r>
      <w:r>
        <w:rPr>
          <w:rFonts w:eastAsia="Times New Roman"/>
        </w:rPr>
        <w:t xml:space="preserve">fy any aspect of a child support order that may not be modified under the law of the issuing state. If two or more tribunals have issued child support orders for the same obligor and child, the order that controls and must be recognized under FCA §580-207 </w:t>
      </w:r>
      <w:r>
        <w:rPr>
          <w:rFonts w:eastAsia="Times New Roman"/>
        </w:rPr>
        <w:t>establishes the aspects of the support order, which are nonmodifiable.</w:t>
      </w:r>
      <w:hyperlink w:anchor="bottom" w:history="1">
        <w:r>
          <w:rPr>
            <w:rStyle w:val="Hyperlink"/>
            <w:rFonts w:eastAsia="Times New Roman"/>
          </w:rPr>
          <w:t>28</w:t>
        </w:r>
      </w:hyperlink>
    </w:p>
    <w:p w:rsidR="00000000" w:rsidRDefault="00237FBB">
      <w:pPr>
        <w:ind w:left="720"/>
        <w:divId w:val="1843885709"/>
        <w:rPr>
          <w:rFonts w:eastAsia="Times New Roman"/>
        </w:rPr>
      </w:pPr>
      <w:r>
        <w:rPr>
          <w:rFonts w:eastAsia="Times New Roman"/>
        </w:rPr>
        <w:t>Once the Family Court makes an order modifying a child support order issued in another state, it becomes the tribunal having continuing, exclusive jurisdi</w:t>
      </w:r>
      <w:r>
        <w:rPr>
          <w:rFonts w:eastAsia="Times New Roman"/>
        </w:rPr>
        <w:t>ction.</w:t>
      </w:r>
      <w:hyperlink w:anchor="bottom" w:history="1">
        <w:r>
          <w:rPr>
            <w:rStyle w:val="Hyperlink"/>
            <w:rFonts w:eastAsia="Times New Roman"/>
          </w:rPr>
          <w:t>29</w:t>
        </w:r>
      </w:hyperlink>
    </w:p>
    <w:p w:rsidR="00000000" w:rsidRDefault="00237FBB">
      <w:pPr>
        <w:ind w:left="720"/>
        <w:divId w:val="1843885709"/>
        <w:rPr>
          <w:rFonts w:eastAsia="Times New Roman"/>
        </w:rPr>
      </w:pPr>
      <w:r>
        <w:rPr>
          <w:rFonts w:eastAsia="Times New Roman"/>
        </w:rPr>
        <w:t>The party obtaining modification of a child support order must, within 30 days, file a certified copy of the order with the issuing tribunal that had continuing, exclusive jurisdiction over the earlier order, and in ea</w:t>
      </w:r>
      <w:r>
        <w:rPr>
          <w:rFonts w:eastAsia="Times New Roman"/>
        </w:rPr>
        <w:t>ch tribunal in which the party knows the earlier order has been registered. Failure to file the order subjects that party to sanctions by a tribunal in which the issue of failure to file arises. However, the failure to file the order does not affect its va</w:t>
      </w:r>
      <w:r>
        <w:rPr>
          <w:rFonts w:eastAsia="Times New Roman"/>
        </w:rPr>
        <w:t>lidity or enforceability.</w:t>
      </w:r>
      <w:hyperlink w:anchor="bottom" w:history="1">
        <w:r>
          <w:rPr>
            <w:rStyle w:val="Hyperlink"/>
            <w:rFonts w:eastAsia="Times New Roman"/>
          </w:rPr>
          <w:t>30</w:t>
        </w:r>
      </w:hyperlink>
    </w:p>
    <w:p w:rsidR="00000000" w:rsidRDefault="00237FBB">
      <w:pPr>
        <w:pStyle w:val="NormalWeb"/>
        <w:jc w:val="center"/>
        <w:divId w:val="1843885709"/>
      </w:pPr>
      <w:r>
        <w:t>---------------------</w:t>
      </w:r>
      <w:r>
        <w:t>-</w:t>
      </w:r>
    </w:p>
    <w:p w:rsidR="00000000" w:rsidRDefault="00237FBB">
      <w:pPr>
        <w:pStyle w:val="NormalWeb"/>
        <w:jc w:val="center"/>
        <w:divId w:val="1843885709"/>
      </w:pPr>
      <w:r>
        <w:t>Note</w:t>
      </w:r>
      <w:r>
        <w:t>s</w:t>
      </w:r>
    </w:p>
    <w:p w:rsidR="00000000" w:rsidRDefault="00237FBB">
      <w:pPr>
        <w:ind w:left="720"/>
        <w:divId w:val="1843885709"/>
        <w:rPr>
          <w:rFonts w:eastAsia="Times New Roman"/>
        </w:rPr>
      </w:pPr>
      <w:r>
        <w:rPr>
          <w:rFonts w:eastAsia="Times New Roman"/>
          <w:sz w:val="20"/>
          <w:szCs w:val="20"/>
        </w:rPr>
        <w:t>(1) See former DRL §30.</w:t>
      </w:r>
    </w:p>
    <w:p w:rsidR="00000000" w:rsidRDefault="00237FBB">
      <w:pPr>
        <w:ind w:left="720"/>
        <w:divId w:val="1843885709"/>
        <w:rPr>
          <w:rFonts w:eastAsia="Times New Roman"/>
        </w:rPr>
      </w:pPr>
      <w:r>
        <w:rPr>
          <w:rFonts w:eastAsia="Times New Roman"/>
          <w:sz w:val="20"/>
          <w:szCs w:val="20"/>
        </w:rPr>
        <w:t>(2) See former DRL §41(1).</w:t>
      </w:r>
    </w:p>
    <w:p w:rsidR="00000000" w:rsidRDefault="00237FBB">
      <w:pPr>
        <w:ind w:left="720"/>
        <w:divId w:val="1843885709"/>
        <w:rPr>
          <w:rFonts w:eastAsia="Times New Roman"/>
        </w:rPr>
      </w:pPr>
      <w:r>
        <w:rPr>
          <w:rFonts w:eastAsia="Times New Roman"/>
          <w:sz w:val="20"/>
          <w:szCs w:val="20"/>
        </w:rPr>
        <w:t xml:space="preserve">(3) </w:t>
      </w:r>
      <w:r>
        <w:rPr>
          <w:rFonts w:eastAsia="Times New Roman"/>
          <w:i/>
          <w:iCs/>
          <w:sz w:val="20"/>
          <w:szCs w:val="20"/>
        </w:rPr>
        <w:t>Cumming v. Cumming</w:t>
      </w:r>
      <w:r>
        <w:rPr>
          <w:rFonts w:eastAsia="Times New Roman"/>
          <w:sz w:val="20"/>
          <w:szCs w:val="20"/>
        </w:rPr>
        <w:t xml:space="preserve"> (1985, 2d Dept.) 113 AD2d 735; </w:t>
      </w:r>
      <w:r>
        <w:rPr>
          <w:rFonts w:eastAsia="Times New Roman"/>
          <w:i/>
          <w:iCs/>
          <w:sz w:val="20"/>
          <w:szCs w:val="20"/>
        </w:rPr>
        <w:t>Lanum v. Lanum</w:t>
      </w:r>
      <w:r>
        <w:rPr>
          <w:rFonts w:eastAsia="Times New Roman"/>
          <w:sz w:val="20"/>
          <w:szCs w:val="20"/>
        </w:rPr>
        <w:t xml:space="preserve"> (1983, 2d Dept.) 92 AD2d 912.</w:t>
      </w:r>
    </w:p>
    <w:p w:rsidR="00000000" w:rsidRDefault="00237FBB">
      <w:pPr>
        <w:ind w:left="720"/>
        <w:divId w:val="1843885709"/>
        <w:rPr>
          <w:rFonts w:eastAsia="Times New Roman"/>
        </w:rPr>
      </w:pPr>
      <w:r>
        <w:rPr>
          <w:rFonts w:eastAsia="Times New Roman"/>
          <w:sz w:val="20"/>
          <w:szCs w:val="20"/>
        </w:rPr>
        <w:t>(4) Laws of 1997, ch 398, §36.</w:t>
      </w:r>
    </w:p>
    <w:p w:rsidR="00000000" w:rsidRDefault="00237FBB">
      <w:pPr>
        <w:ind w:left="720"/>
        <w:divId w:val="1843885709"/>
        <w:rPr>
          <w:rFonts w:eastAsia="Times New Roman"/>
        </w:rPr>
      </w:pPr>
      <w:r>
        <w:rPr>
          <w:rFonts w:eastAsia="Times New Roman"/>
          <w:sz w:val="20"/>
          <w:szCs w:val="20"/>
        </w:rPr>
        <w:t>(5) Laws of 1997, ch 398, §37. FCA §580 904 provides that it shall apply to all actions or proceedings filed on or after it's effective date.</w:t>
      </w:r>
    </w:p>
    <w:p w:rsidR="00000000" w:rsidRDefault="00237FBB">
      <w:pPr>
        <w:ind w:left="720"/>
        <w:divId w:val="1843885709"/>
        <w:rPr>
          <w:rFonts w:eastAsia="Times New Roman"/>
        </w:rPr>
      </w:pPr>
      <w:r>
        <w:rPr>
          <w:rFonts w:eastAsia="Times New Roman"/>
          <w:sz w:val="20"/>
          <w:szCs w:val="20"/>
        </w:rPr>
        <w:t>(6) FCA §580-101 (22).</w:t>
      </w:r>
    </w:p>
    <w:p w:rsidR="00000000" w:rsidRDefault="00237FBB">
      <w:pPr>
        <w:ind w:left="720"/>
        <w:divId w:val="1843885709"/>
        <w:rPr>
          <w:rFonts w:eastAsia="Times New Roman"/>
        </w:rPr>
      </w:pPr>
      <w:r>
        <w:rPr>
          <w:rFonts w:eastAsia="Times New Roman"/>
          <w:sz w:val="20"/>
          <w:szCs w:val="20"/>
        </w:rPr>
        <w:t xml:space="preserve">(7) </w:t>
      </w:r>
      <w:r>
        <w:rPr>
          <w:rFonts w:eastAsia="Times New Roman"/>
          <w:i/>
          <w:iCs/>
          <w:sz w:val="20"/>
          <w:szCs w:val="20"/>
        </w:rPr>
        <w:t>Kagen v. Kagen</w:t>
      </w:r>
      <w:r>
        <w:rPr>
          <w:rFonts w:eastAsia="Times New Roman"/>
          <w:sz w:val="20"/>
          <w:szCs w:val="20"/>
        </w:rPr>
        <w:t xml:space="preserve"> (1968) 21 NY2d 532; </w:t>
      </w:r>
      <w:r>
        <w:rPr>
          <w:rFonts w:eastAsia="Times New Roman"/>
          <w:i/>
          <w:iCs/>
          <w:sz w:val="20"/>
          <w:szCs w:val="20"/>
        </w:rPr>
        <w:t>Seitz v. Drogheo</w:t>
      </w:r>
      <w:r>
        <w:rPr>
          <w:rFonts w:eastAsia="Times New Roman"/>
          <w:sz w:val="20"/>
          <w:szCs w:val="20"/>
        </w:rPr>
        <w:t xml:space="preserve"> (196</w:t>
      </w:r>
      <w:r>
        <w:rPr>
          <w:rFonts w:eastAsia="Times New Roman"/>
          <w:sz w:val="20"/>
          <w:szCs w:val="20"/>
        </w:rPr>
        <w:t>7) 21 NY2d 181.</w:t>
      </w:r>
    </w:p>
    <w:p w:rsidR="00000000" w:rsidRDefault="00237FBB">
      <w:pPr>
        <w:ind w:left="720"/>
        <w:divId w:val="1843885709"/>
        <w:rPr>
          <w:rFonts w:eastAsia="Times New Roman"/>
        </w:rPr>
      </w:pPr>
      <w:r>
        <w:rPr>
          <w:rFonts w:eastAsia="Times New Roman"/>
          <w:sz w:val="20"/>
          <w:szCs w:val="20"/>
        </w:rPr>
        <w:t>(8) FCA §580-204 (a).</w:t>
      </w:r>
    </w:p>
    <w:p w:rsidR="00000000" w:rsidRDefault="00237FBB">
      <w:pPr>
        <w:ind w:left="720"/>
        <w:divId w:val="1843885709"/>
        <w:rPr>
          <w:rFonts w:eastAsia="Times New Roman"/>
        </w:rPr>
      </w:pPr>
      <w:r>
        <w:rPr>
          <w:rFonts w:eastAsia="Times New Roman"/>
          <w:sz w:val="20"/>
          <w:szCs w:val="20"/>
        </w:rPr>
        <w:t>(9) FCA §580-204.(b).</w:t>
      </w:r>
    </w:p>
    <w:p w:rsidR="00000000" w:rsidRDefault="00237FBB">
      <w:pPr>
        <w:ind w:left="720"/>
        <w:divId w:val="1843885709"/>
        <w:rPr>
          <w:rFonts w:eastAsia="Times New Roman"/>
        </w:rPr>
      </w:pPr>
      <w:r>
        <w:rPr>
          <w:rFonts w:eastAsia="Times New Roman"/>
          <w:sz w:val="20"/>
          <w:szCs w:val="20"/>
        </w:rPr>
        <w:t>(10) 28 USC §1738(a).</w:t>
      </w:r>
    </w:p>
    <w:p w:rsidR="00000000" w:rsidRDefault="00237FBB">
      <w:pPr>
        <w:ind w:left="720"/>
        <w:divId w:val="1843885709"/>
        <w:rPr>
          <w:rFonts w:eastAsia="Times New Roman"/>
        </w:rPr>
      </w:pPr>
      <w:r>
        <w:rPr>
          <w:rFonts w:eastAsia="Times New Roman"/>
          <w:sz w:val="20"/>
          <w:szCs w:val="20"/>
        </w:rPr>
        <w:t>(11) See FCA §580-101.</w:t>
      </w:r>
    </w:p>
    <w:p w:rsidR="00000000" w:rsidRDefault="00237FBB">
      <w:pPr>
        <w:ind w:left="720"/>
        <w:divId w:val="1843885709"/>
        <w:rPr>
          <w:rFonts w:eastAsia="Times New Roman"/>
        </w:rPr>
      </w:pPr>
      <w:r>
        <w:rPr>
          <w:rFonts w:eastAsia="Times New Roman"/>
          <w:sz w:val="20"/>
          <w:szCs w:val="20"/>
        </w:rPr>
        <w:t>(12) FCA §580-205(a)(2).</w:t>
      </w:r>
    </w:p>
    <w:p w:rsidR="00000000" w:rsidRDefault="00237FBB">
      <w:pPr>
        <w:ind w:left="720"/>
        <w:divId w:val="1843885709"/>
        <w:rPr>
          <w:rFonts w:eastAsia="Times New Roman"/>
        </w:rPr>
      </w:pPr>
      <w:r>
        <w:rPr>
          <w:rFonts w:eastAsia="Times New Roman"/>
          <w:sz w:val="20"/>
          <w:szCs w:val="20"/>
        </w:rPr>
        <w:t>(13) FCA §580-205(a)(2).</w:t>
      </w:r>
    </w:p>
    <w:p w:rsidR="00000000" w:rsidRDefault="00237FBB">
      <w:pPr>
        <w:ind w:left="720"/>
        <w:divId w:val="1843885709"/>
        <w:rPr>
          <w:rFonts w:eastAsia="Times New Roman"/>
        </w:rPr>
      </w:pPr>
      <w:r>
        <w:rPr>
          <w:rFonts w:eastAsia="Times New Roman"/>
          <w:sz w:val="20"/>
          <w:szCs w:val="20"/>
        </w:rPr>
        <w:t>(14) FCA §580-205(a).</w:t>
      </w:r>
    </w:p>
    <w:p w:rsidR="00000000" w:rsidRDefault="00237FBB">
      <w:pPr>
        <w:ind w:left="720"/>
        <w:divId w:val="1843885709"/>
        <w:rPr>
          <w:rFonts w:eastAsia="Times New Roman"/>
        </w:rPr>
      </w:pPr>
      <w:r>
        <w:rPr>
          <w:rFonts w:eastAsia="Times New Roman"/>
          <w:sz w:val="20"/>
          <w:szCs w:val="20"/>
        </w:rPr>
        <w:t>(15) FCA §580-205(b).</w:t>
      </w:r>
    </w:p>
    <w:p w:rsidR="00000000" w:rsidRDefault="00237FBB">
      <w:pPr>
        <w:ind w:left="720"/>
        <w:divId w:val="1843885709"/>
        <w:rPr>
          <w:rFonts w:eastAsia="Times New Roman"/>
        </w:rPr>
      </w:pPr>
      <w:r>
        <w:rPr>
          <w:rFonts w:eastAsia="Times New Roman"/>
          <w:sz w:val="20"/>
          <w:szCs w:val="20"/>
        </w:rPr>
        <w:t>(16) FCA §580-205(c)(1).</w:t>
      </w:r>
    </w:p>
    <w:p w:rsidR="00000000" w:rsidRDefault="00237FBB">
      <w:pPr>
        <w:ind w:left="720"/>
        <w:divId w:val="1843885709"/>
        <w:rPr>
          <w:rFonts w:eastAsia="Times New Roman"/>
        </w:rPr>
      </w:pPr>
      <w:r>
        <w:rPr>
          <w:rFonts w:eastAsia="Times New Roman"/>
          <w:sz w:val="20"/>
          <w:szCs w:val="20"/>
        </w:rPr>
        <w:t>(17) FCA §580-205(c)(2).</w:t>
      </w:r>
    </w:p>
    <w:p w:rsidR="00000000" w:rsidRDefault="00237FBB">
      <w:pPr>
        <w:ind w:left="720"/>
        <w:divId w:val="1843885709"/>
        <w:rPr>
          <w:rFonts w:eastAsia="Times New Roman"/>
        </w:rPr>
      </w:pPr>
      <w:r>
        <w:rPr>
          <w:rFonts w:eastAsia="Times New Roman"/>
          <w:sz w:val="20"/>
          <w:szCs w:val="20"/>
        </w:rPr>
        <w:t>(18) FC</w:t>
      </w:r>
      <w:r>
        <w:rPr>
          <w:rFonts w:eastAsia="Times New Roman"/>
          <w:sz w:val="20"/>
          <w:szCs w:val="20"/>
        </w:rPr>
        <w:t>A §580-205(c)(3).</w:t>
      </w:r>
    </w:p>
    <w:p w:rsidR="00000000" w:rsidRDefault="00237FBB">
      <w:pPr>
        <w:ind w:left="720"/>
        <w:divId w:val="1843885709"/>
        <w:rPr>
          <w:rFonts w:eastAsia="Times New Roman"/>
        </w:rPr>
      </w:pPr>
      <w:r>
        <w:rPr>
          <w:rFonts w:eastAsia="Times New Roman"/>
          <w:sz w:val="20"/>
          <w:szCs w:val="20"/>
        </w:rPr>
        <w:t>(19) FCA §580-205(d).</w:t>
      </w:r>
    </w:p>
    <w:p w:rsidR="00000000" w:rsidRDefault="00237FBB">
      <w:pPr>
        <w:ind w:left="720"/>
        <w:divId w:val="1843885709"/>
        <w:rPr>
          <w:rFonts w:eastAsia="Times New Roman"/>
        </w:rPr>
      </w:pPr>
      <w:r>
        <w:rPr>
          <w:rFonts w:eastAsia="Times New Roman"/>
          <w:sz w:val="20"/>
          <w:szCs w:val="20"/>
        </w:rPr>
        <w:t>(20) FCA §580-205(d).</w:t>
      </w:r>
    </w:p>
    <w:p w:rsidR="00000000" w:rsidRDefault="00237FBB">
      <w:pPr>
        <w:ind w:left="720"/>
        <w:divId w:val="1843885709"/>
        <w:rPr>
          <w:rFonts w:eastAsia="Times New Roman"/>
        </w:rPr>
      </w:pPr>
      <w:r>
        <w:rPr>
          <w:rFonts w:eastAsia="Times New Roman"/>
          <w:sz w:val="20"/>
          <w:szCs w:val="20"/>
        </w:rPr>
        <w:t>(21) FCA §580-205(e).</w:t>
      </w:r>
    </w:p>
    <w:p w:rsidR="00000000" w:rsidRDefault="00237FBB">
      <w:pPr>
        <w:ind w:left="720"/>
        <w:divId w:val="1843885709"/>
        <w:rPr>
          <w:rFonts w:eastAsia="Times New Roman"/>
        </w:rPr>
      </w:pPr>
      <w:r>
        <w:rPr>
          <w:rFonts w:eastAsia="Times New Roman"/>
          <w:sz w:val="20"/>
          <w:szCs w:val="20"/>
        </w:rPr>
        <w:t>(22) FCA §580-205(f).</w:t>
      </w:r>
    </w:p>
    <w:p w:rsidR="00000000" w:rsidRDefault="00237FBB">
      <w:pPr>
        <w:ind w:left="720"/>
        <w:divId w:val="1843885709"/>
        <w:rPr>
          <w:rFonts w:eastAsia="Times New Roman"/>
        </w:rPr>
      </w:pPr>
      <w:r>
        <w:rPr>
          <w:rFonts w:eastAsia="Times New Roman"/>
          <w:sz w:val="20"/>
          <w:szCs w:val="20"/>
        </w:rPr>
        <w:t>(23) FCA §580-206.</w:t>
      </w:r>
    </w:p>
    <w:p w:rsidR="00000000" w:rsidRDefault="00237FBB">
      <w:pPr>
        <w:ind w:left="720"/>
        <w:divId w:val="1843885709"/>
        <w:rPr>
          <w:rFonts w:eastAsia="Times New Roman"/>
        </w:rPr>
      </w:pPr>
      <w:r>
        <w:rPr>
          <w:rFonts w:eastAsia="Times New Roman"/>
          <w:sz w:val="20"/>
          <w:szCs w:val="20"/>
        </w:rPr>
        <w:t>(24) FCA §580-609.</w:t>
      </w:r>
    </w:p>
    <w:p w:rsidR="00000000" w:rsidRDefault="00237FBB">
      <w:pPr>
        <w:ind w:left="720"/>
        <w:divId w:val="1843885709"/>
        <w:rPr>
          <w:rFonts w:eastAsia="Times New Roman"/>
        </w:rPr>
      </w:pPr>
      <w:r>
        <w:rPr>
          <w:rFonts w:eastAsia="Times New Roman"/>
          <w:sz w:val="20"/>
          <w:szCs w:val="20"/>
        </w:rPr>
        <w:t>(25) FCA §580-610.</w:t>
      </w:r>
    </w:p>
    <w:p w:rsidR="00000000" w:rsidRDefault="00237FBB">
      <w:pPr>
        <w:ind w:left="720"/>
        <w:divId w:val="1843885709"/>
        <w:rPr>
          <w:rFonts w:eastAsia="Times New Roman"/>
        </w:rPr>
      </w:pPr>
      <w:r>
        <w:rPr>
          <w:rFonts w:eastAsia="Times New Roman"/>
          <w:sz w:val="20"/>
          <w:szCs w:val="20"/>
        </w:rPr>
        <w:t>(26) FCA §580-611(a).</w:t>
      </w:r>
    </w:p>
    <w:p w:rsidR="00000000" w:rsidRDefault="00237FBB">
      <w:pPr>
        <w:ind w:left="720"/>
        <w:divId w:val="1843885709"/>
        <w:rPr>
          <w:rFonts w:eastAsia="Times New Roman"/>
        </w:rPr>
      </w:pPr>
      <w:r>
        <w:rPr>
          <w:rFonts w:eastAsia="Times New Roman"/>
          <w:sz w:val="20"/>
          <w:szCs w:val="20"/>
        </w:rPr>
        <w:t>(27) FCA §580-611(b).</w:t>
      </w:r>
    </w:p>
    <w:p w:rsidR="00000000" w:rsidRDefault="00237FBB">
      <w:pPr>
        <w:ind w:left="720"/>
        <w:divId w:val="1843885709"/>
        <w:rPr>
          <w:rFonts w:eastAsia="Times New Roman"/>
        </w:rPr>
      </w:pPr>
      <w:r>
        <w:rPr>
          <w:rFonts w:eastAsia="Times New Roman"/>
          <w:sz w:val="20"/>
          <w:szCs w:val="20"/>
        </w:rPr>
        <w:t>(28) FCA §580-611(c).</w:t>
      </w:r>
    </w:p>
    <w:p w:rsidR="00000000" w:rsidRDefault="00237FBB">
      <w:pPr>
        <w:ind w:left="720"/>
        <w:divId w:val="1843885709"/>
        <w:rPr>
          <w:rFonts w:eastAsia="Times New Roman"/>
        </w:rPr>
      </w:pPr>
      <w:r>
        <w:rPr>
          <w:rFonts w:eastAsia="Times New Roman"/>
          <w:sz w:val="20"/>
          <w:szCs w:val="20"/>
        </w:rPr>
        <w:t>(29) FCA §580-611(d).</w:t>
      </w:r>
    </w:p>
    <w:p w:rsidR="00000000" w:rsidRDefault="00237FBB">
      <w:pPr>
        <w:ind w:left="720"/>
        <w:divId w:val="1843885709"/>
        <w:rPr>
          <w:rFonts w:eastAsia="Times New Roman"/>
        </w:rPr>
      </w:pPr>
      <w:r>
        <w:rPr>
          <w:rFonts w:eastAsia="Times New Roman"/>
          <w:sz w:val="20"/>
          <w:szCs w:val="20"/>
        </w:rPr>
        <w:t xml:space="preserve">(30) FCA §580-614. </w:t>
      </w:r>
    </w:p>
    <w:p w:rsidR="00000000" w:rsidRDefault="00237FBB">
      <w:pPr>
        <w:ind w:left="720"/>
        <w:divId w:val="1843885709"/>
        <w:rPr>
          <w:rFonts w:eastAsia="Times New Roman"/>
        </w:rPr>
      </w:pPr>
      <w:r>
        <w:rPr>
          <w:rFonts w:eastAsia="Times New Roman"/>
        </w:rPr>
        <w:t>*********</w:t>
      </w:r>
    </w:p>
    <w:p w:rsidR="00000000" w:rsidRDefault="00E342B9">
      <w:pPr>
        <w:divId w:val="1843885709"/>
        <w:rPr>
          <w:rFonts w:eastAsia="Times New Roman"/>
        </w:rPr>
      </w:pPr>
      <w:r>
        <w:rPr>
          <w:rFonts w:eastAsia="Times New Roman"/>
        </w:rPr>
        <w:pict>
          <v:rect id="_x0000_i1025" style="width:0;height:1.5pt" o:hralign="center" o:hrstd="t" o:hr="t" fillcolor="#a0a0a0" stroked="f"/>
        </w:pict>
      </w:r>
    </w:p>
    <w:p w:rsidR="00000000" w:rsidRDefault="00237FBB">
      <w:pPr>
        <w:pStyle w:val="NormalWeb"/>
        <w:divId w:val="1843885709"/>
        <w:rPr>
          <w:i/>
          <w:iCs/>
        </w:rPr>
      </w:pPr>
      <w:r>
        <w:rPr>
          <w:b/>
          <w:bCs/>
        </w:rPr>
        <w:t>Joel R. Brandes</w:t>
      </w:r>
      <w:r>
        <w:rPr>
          <w:b/>
          <w:bCs/>
        </w:rPr>
        <w:t xml:space="preserve"> </w:t>
      </w:r>
      <w:r>
        <w:rPr>
          <w:i/>
          <w:iCs/>
        </w:rPr>
        <w:t xml:space="preserve">has law offices in Garden City and New York City. He co-authored the nine-volume </w:t>
      </w:r>
      <w:r>
        <w:t xml:space="preserve">Law and the Family New York </w:t>
      </w:r>
      <w:r>
        <w:rPr>
          <w:i/>
          <w:iCs/>
        </w:rPr>
        <w:t xml:space="preserve">and </w:t>
      </w:r>
      <w:r>
        <w:t xml:space="preserve">Law and the Family New York Forms </w:t>
      </w:r>
      <w:r>
        <w:rPr>
          <w:i/>
          <w:iCs/>
        </w:rPr>
        <w:t>(both, published by Westgro</w:t>
      </w:r>
      <w:r>
        <w:rPr>
          <w:i/>
          <w:iCs/>
        </w:rPr>
        <w:t>up)</w:t>
      </w:r>
      <w:r>
        <w:rPr>
          <w:i/>
          <w:iCs/>
        </w:rPr>
        <w:t>.</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E342B9"/>
    <w:rsid w:val="00237FBB"/>
    <w:rsid w:val="00E34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843885709">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10921</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Jurisdiction Over Support Orders. New York Divorce and Family Law, the definitive site about divorce, child support and custody.</dc:title>
  <dc:creator>Joel R. Brandes</dc:creator>
  <cp:lastModifiedBy>Joel R. Brandes</cp:lastModifiedBy>
  <cp:revision>2</cp:revision>
  <dcterms:created xsi:type="dcterms:W3CDTF">2016-07-15T20:21:00Z</dcterms:created>
  <dcterms:modified xsi:type="dcterms:W3CDTF">2016-07-15T20:21:00Z</dcterms:modified>
</cp:coreProperties>
</file>