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C4841">
      <w:pPr>
        <w:rPr>
          <w:rFonts w:eastAsia="Times New Roman"/>
        </w:rPr>
      </w:pPr>
      <w:r>
        <w:rPr>
          <w:rFonts w:eastAsia="Times New Roman"/>
        </w:rPr>
        <w:t> </w:t>
      </w:r>
      <w:bookmarkStart w:id="0" w:name="_GoBack"/>
      <w:bookmarkEnd w:id="0"/>
    </w:p>
    <w:p w:rsidR="00000000" w:rsidRDefault="005C4841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5C4841">
      <w:pPr>
        <w:pStyle w:val="Heading3"/>
        <w:jc w:val="center"/>
        <w:rPr>
          <w:rFonts w:eastAsia="Times New Roman"/>
        </w:rPr>
      </w:pPr>
      <w:r>
        <w:rPr>
          <w:rFonts w:eastAsia="Times New Roman"/>
          <w:color w:val="FF00FF"/>
        </w:rPr>
        <w:t xml:space="preserve">- </w:t>
      </w:r>
      <w:r>
        <w:rPr>
          <w:rFonts w:ascii="Univers" w:eastAsia="Times New Roman" w:hAnsi="Univers"/>
          <w:color w:val="FF00FF"/>
          <w:u w:val="single"/>
        </w:rPr>
        <w:t>COMMON LAW MARRIAGES</w:t>
      </w:r>
      <w:r>
        <w:rPr>
          <w:rFonts w:eastAsia="Times New Roman"/>
          <w:color w:val="FF00FF"/>
        </w:rPr>
        <w:t xml:space="preserve"> -</w:t>
      </w:r>
    </w:p>
    <w:p w:rsidR="00000000" w:rsidRDefault="005C4841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5C4841">
      <w:pPr>
        <w:pStyle w:val="NormalWeb"/>
      </w:pPr>
      <w:r>
        <w:t>(Note: This article was written in 1989. Apart from a few "dated "references the law has not changed.)</w:t>
      </w:r>
    </w:p>
    <w:p w:rsidR="00000000" w:rsidRDefault="005C4841">
      <w:pPr>
        <w:pStyle w:val="NormalWeb"/>
      </w:pPr>
      <w:r>
        <w:rPr>
          <w:rFonts w:ascii="Univers" w:hAnsi="Univers"/>
        </w:rPr>
        <w:t>The New York Times of June 26, 1989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reported that Sandr</w:t>
      </w:r>
      <w:r>
        <w:rPr>
          <w:rFonts w:ascii="Univers" w:hAnsi="Univers"/>
        </w:rPr>
        <w:t>a Jennings and actor William Hurt were engaged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a trial in New York's Supreme Court. It was reported that Ms.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Jennings, who gave birth to a son while living with Mr. Hurt, was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"fighting an uphill battle"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her efforts to prove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Judge Jacqueline Silber</w:t>
      </w:r>
      <w:r>
        <w:rPr>
          <w:rFonts w:ascii="Univers" w:hAnsi="Univers"/>
        </w:rPr>
        <w:t>man that she and Hurt had entered into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"common law"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South Carolina when they lived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together while he was filming the movie,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"The Big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Chill"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there in 1982 and 1983.1 Ms. Jennings testified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Mr. Hurt had told her that they had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"a spiritual </w:t>
      </w:r>
      <w:r>
        <w:rPr>
          <w:rFonts w:ascii="Univers" w:hAnsi="Univers"/>
        </w:rPr>
        <w:t>marriage,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that we were married in the eyes of God,"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during the period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between December 3, 1982, when Mr. Hurt obtained a divorce from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actress Mary Beth Hurt, and January 10, 1983, when he and Ms.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Jennings left South Carolina to live in New York. Accord</w:t>
      </w:r>
      <w:r>
        <w:rPr>
          <w:rFonts w:ascii="Univers" w:hAnsi="Univers"/>
        </w:rPr>
        <w:t>ing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report, Ms. Jennings brought the action to establish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"common law"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after Mr. Hurt's attitude towards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her had cooled off.2</w:t>
      </w:r>
    </w:p>
    <w:p w:rsidR="00000000" w:rsidRDefault="005C4841">
      <w:pPr>
        <w:pStyle w:val="NormalWeb"/>
      </w:pPr>
      <w:r>
        <w:rPr>
          <w:rFonts w:ascii="Univers" w:hAnsi="Univers"/>
        </w:rPr>
        <w:t>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Jennings v Hurt,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Supreme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Court had previously denied3 Ms. Jennings' application for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pendente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lite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maintena</w:t>
      </w:r>
      <w:r>
        <w:rPr>
          <w:rFonts w:ascii="Univers" w:hAnsi="Univers"/>
        </w:rPr>
        <w:t>nce without prejudice to her proving her case 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trial, because she had failed to demonstrate a reasonable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probability of success on the merits. The court held that Ms.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Jennings had failed to establish on her motion that she had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contracted a valid common-l</w:t>
      </w:r>
      <w:r>
        <w:rPr>
          <w:rFonts w:ascii="Univers" w:hAnsi="Univers"/>
        </w:rPr>
        <w:t>aw marriage in South Carolina with Mr.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Hurt, but granted her the right to try to prove her case 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trial. At that time, the court also denied Ms. Jennings' request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for interim child support for the parties' five-year-old child,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because Mr. Hurt had made ta</w:t>
      </w:r>
      <w:r>
        <w:rPr>
          <w:rFonts w:ascii="Univers" w:hAnsi="Univers"/>
        </w:rPr>
        <w:t>x-free,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rPr>
          <w:rFonts w:ascii="Univers" w:hAnsi="Univers"/>
        </w:rPr>
        <w:t>voluntary child support payments.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court also denied Ms. Jennings' request for interim counsel fees,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accountant's and appraiser's fees, holding that the financial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issues had to await a determination that there was a valid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marriage. This trial, </w:t>
      </w:r>
      <w:r>
        <w:rPr>
          <w:rFonts w:ascii="Univers" w:hAnsi="Univers"/>
        </w:rPr>
        <w:t>which was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"Broadcast News"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throughout the country,4 focused on Ms. Jennings' attempt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prove that there was, in fact, a common-law marriage.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rPr>
          <w:rFonts w:ascii="Univers" w:hAnsi="Univers"/>
        </w:rPr>
        <w:t>While Sandra Jennings' attempt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establish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"common law"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received much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notoriety because of her lover'</w:t>
      </w:r>
      <w:r>
        <w:rPr>
          <w:rFonts w:ascii="Univers" w:hAnsi="Univers"/>
        </w:rPr>
        <w:t>s popularity and reputation for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his recent performances in the movies,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"The Accidental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Tourist"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"Broadcast News", those of us who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recall the music of the 50's were equally impressed by the First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Department decision 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Lyman v Lyman</w:t>
      </w:r>
      <w:r>
        <w:rPr>
          <w:rFonts w:ascii="Univers" w:hAnsi="Univers"/>
        </w:rPr>
        <w:t>,5 which held that th</w:t>
      </w:r>
      <w:r>
        <w:rPr>
          <w:rFonts w:ascii="Univers" w:hAnsi="Univers"/>
        </w:rPr>
        <w:t>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petitioner, a former singer with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"The Platters", had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failed to establish that she and Frank Lyman (whose 1956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recording of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"Why Do Fools Fall In Love?"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had made him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 recording and performing star) had entered into a common-law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in the State of P</w:t>
      </w:r>
      <w:r>
        <w:rPr>
          <w:rFonts w:ascii="Univers" w:hAnsi="Univers"/>
        </w:rPr>
        <w:t>ennsylvania in 1965.</w:t>
      </w:r>
    </w:p>
    <w:p w:rsidR="00000000" w:rsidRDefault="005C4841">
      <w:pPr>
        <w:pStyle w:val="NormalWeb"/>
      </w:pPr>
      <w:r>
        <w:rPr>
          <w:rFonts w:ascii="Univers" w:hAnsi="Univers"/>
        </w:rPr>
        <w:lastRenderedPageBreak/>
        <w:t>Both of these cases raise several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questions about marriage: What is marriage? How is it contracted?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What is a common-law marriage? Is it different from an ordinary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marriage?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rPr>
          <w:rFonts w:ascii="Univers" w:hAnsi="Univers"/>
        </w:rPr>
        <w:t>The term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"common-law marriage"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is a misnomer because it refe</w:t>
      </w:r>
      <w:r>
        <w:rPr>
          <w:rFonts w:ascii="Univers" w:hAnsi="Univers"/>
        </w:rPr>
        <w:t>rs to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"law of marriage"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which we supposedly inherited from England when we adopted its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common law on July 4, 1776.6 This is because there was no common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law of marriage in England on July 4, 1776. The early Anglo-Saxon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form of marriage involved a betrotha</w:t>
      </w:r>
      <w:r>
        <w:rPr>
          <w:rFonts w:ascii="Univers" w:hAnsi="Univers"/>
        </w:rPr>
        <w:t>l, by which the bride's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father or relatives agreed to transfer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"mund,"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or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custody for protection, of the bride to the bridegroom. In return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bridegroom agreed to make a transfer of property to them, or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make a settlement of property upon the bride, a</w:t>
      </w:r>
      <w:r>
        <w:rPr>
          <w:rFonts w:ascii="Univers" w:hAnsi="Univers"/>
        </w:rPr>
        <w:t>nd, in addition,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to care for and protect her. Following the betrothal, the bride's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family delivered the bride to the groom, who made the promised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settlement in return. After the Norman Conquest, the power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regulate marriage was given to the Church and th</w:t>
      </w:r>
      <w:r>
        <w:rPr>
          <w:rFonts w:ascii="Univers" w:hAnsi="Univers"/>
        </w:rPr>
        <w:t>e ceremony took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place in the presence of a priest. The wedding ring was given 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 pledge that the bridegroom would perform his covenants.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additional ecclesiastical requirement of thrice publishing the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banns for all church marriages was imposed and</w:t>
      </w:r>
      <w:r>
        <w:t xml:space="preserve"> marriages had to be conducted in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church and by a priest.7</w:t>
      </w:r>
    </w:p>
    <w:p w:rsidR="00000000" w:rsidRDefault="005C4841">
      <w:pPr>
        <w:pStyle w:val="NormalWeb"/>
      </w:pPr>
      <w:r>
        <w:rPr>
          <w:rFonts w:ascii="Univers" w:hAnsi="Univers"/>
        </w:rPr>
        <w:t>When the English Reformation transformed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Roman Church and ecclesiastical establishment into an English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church, the marriage ceremony and the church's requirements did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not change. However, the C</w:t>
      </w:r>
      <w:r>
        <w:rPr>
          <w:rFonts w:ascii="Univers" w:hAnsi="Univers"/>
        </w:rPr>
        <w:t>hurch was willing to recognize two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kinds of informal marriage, known 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"sponsalia per verba de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praesenti"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"sponsalia per verba de futuro."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first took place when the parties exchanged promises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they would be man and wife from that moment on. Th</w:t>
      </w:r>
      <w:r>
        <w:rPr>
          <w:rFonts w:ascii="Univers" w:hAnsi="Univers"/>
        </w:rPr>
        <w:t>e second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required an exchange of promises to be man and wife in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future, followed by sexual intercourse. When the parties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presently took each other as man and wife, a valid marriage was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formed. Consummation was not required. In the case of the promise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</w:t>
      </w:r>
      <w:r>
        <w:rPr>
          <w:rFonts w:ascii="Univers" w:hAnsi="Univers"/>
        </w:rPr>
        <w:t>o marry in the future, a valid marriage resulted only when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parties consummated their promise by intercourse.</w:t>
      </w:r>
    </w:p>
    <w:p w:rsidR="00000000" w:rsidRDefault="005C4841">
      <w:pPr>
        <w:pStyle w:val="NormalWeb"/>
      </w:pPr>
      <w:r>
        <w:rPr>
          <w:rFonts w:ascii="Univers" w:hAnsi="Univers"/>
        </w:rPr>
        <w:t>Until the middle of the eighteenth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century these informal marriages were held valid8 by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ecclesiastics who had the jurisdiction to determine</w:t>
      </w:r>
      <w:r>
        <w:rPr>
          <w:rFonts w:ascii="Univers" w:hAnsi="Univers"/>
        </w:rPr>
        <w:t xml:space="preserve"> the validity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of a marriage.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rPr>
          <w:rFonts w:ascii="Univers" w:hAnsi="Univers"/>
        </w:rPr>
        <w:t>In 1753 Lord Hardwicke's Act9 required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parish church ceremony in the Church of England, publication of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banns, and a license as a condition to the validity of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marriage. The purpose of the Act was to prevent clandestine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</w:t>
      </w:r>
      <w:r>
        <w:rPr>
          <w:rFonts w:ascii="Univers" w:hAnsi="Univers"/>
        </w:rPr>
        <w:t>iages,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"Fleet"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marriages and other fraudulent or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irregular marriages. The Act governed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lastRenderedPageBreak/>
        <w:t> </w:t>
      </w:r>
    </w:p>
    <w:p w:rsidR="00000000" w:rsidRDefault="005C4841">
      <w:pPr>
        <w:pStyle w:val="NormalWeb"/>
      </w:pPr>
      <w:r>
        <w:t>only marriages contracted in England, leaving Scottish and Irish marriages subject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to the earlier rules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allowing informal marriage,10 and did not apply to Quakers a</w:t>
      </w:r>
      <w:r>
        <w:rPr>
          <w:rFonts w:ascii="Univers" w:hAnsi="Univers"/>
        </w:rPr>
        <w:t>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Jews.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rPr>
          <w:rFonts w:ascii="Univers" w:hAnsi="Univers"/>
        </w:rPr>
        <w:t>In the American colonies marriage was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regulated by the civil authorities, and informal marriages were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recognized as valid,11 at least in the absence of a statute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requiring a ceremony.12 This enabled parties, such as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pioneers, to contract vali</w:t>
      </w:r>
      <w:r>
        <w:rPr>
          <w:rFonts w:ascii="Univers" w:hAnsi="Univers"/>
        </w:rPr>
        <w:t>d marriages when there was no clergyman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or civil officer available to perform a ceremony.</w:t>
      </w:r>
    </w:p>
    <w:p w:rsidR="00000000" w:rsidRDefault="005C4841">
      <w:pPr>
        <w:pStyle w:val="NormalWeb"/>
      </w:pPr>
      <w:r>
        <w:rPr>
          <w:rFonts w:ascii="Univers" w:hAnsi="Univers"/>
        </w:rPr>
        <w:t>English law also recognized several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impediments to the formation of valid informal and formal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marriages. A close relationship between the parties, either by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blood or </w:t>
      </w:r>
      <w:r>
        <w:rPr>
          <w:rFonts w:ascii="Univers" w:hAnsi="Univers"/>
        </w:rPr>
        <w:t>marriage, was a reason for declaring the marriage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invalid.13 The range of the relationship which disqualified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parties from marrying was narrowed in the early sixteenth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century, after the Reformation, to the Levitical degrees.14</w:t>
      </w:r>
    </w:p>
    <w:p w:rsidR="00000000" w:rsidRDefault="005C4841">
      <w:pPr>
        <w:pStyle w:val="NormalWeb"/>
      </w:pPr>
      <w:r>
        <w:rPr>
          <w:rFonts w:ascii="Univers" w:hAnsi="Univers"/>
        </w:rPr>
        <w:t>Infancy was also an impe</w:t>
      </w:r>
      <w:r>
        <w:rPr>
          <w:rFonts w:ascii="Univers" w:hAnsi="Univers"/>
        </w:rPr>
        <w:t>diment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marriage. Children below the age of seven were incapable of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marrying. After the age of seven they might marry, but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was voidable until they were able to consummate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marriage, which the law presumed to be at age fourteen for boys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</w:t>
      </w:r>
      <w:r>
        <w:rPr>
          <w:rFonts w:ascii="Univers" w:hAnsi="Univers"/>
        </w:rPr>
        <w:t>d twelve for girls. Beyond those ages the marriages were valid,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even though the parties were under the age of twenty-one and did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not have their parents' consent. Later statutes imposed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requirement of parents' consent.15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The English method of enteri</w:t>
      </w:r>
      <w:r>
        <w:rPr>
          <w:rFonts w:ascii="Univers" w:hAnsi="Univers"/>
        </w:rPr>
        <w:t>ng into an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informal marriage, known 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"sponsalia per verba de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paesenti", was adopted in New York. Its legal definition of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 common-law marriage is an agreement, in words of the present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tense, made by parties competent to marry, to take one another 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husb</w:t>
      </w:r>
      <w:r>
        <w:rPr>
          <w:rFonts w:ascii="Univers" w:hAnsi="Univers"/>
        </w:rPr>
        <w:t>and and wife.16 Ordinarily, common-law marriages are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unlicensed. Cohabitation, repute, holding out, and the like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generally are regarded as bits of evidence which are more or less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cogent in showing that such an agreement, in fact, was made, but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they are not</w:t>
      </w:r>
      <w:r>
        <w:rPr>
          <w:rFonts w:ascii="Univers" w:hAnsi="Univers"/>
        </w:rPr>
        <w:t xml:space="preserve"> a substitute for or the equivalent of the actual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agreement.17</w:t>
      </w:r>
    </w:p>
    <w:p w:rsidR="00000000" w:rsidRDefault="005C4841">
      <w:pPr>
        <w:pStyle w:val="NormalWeb"/>
      </w:pPr>
      <w:r>
        <w:rPr>
          <w:rFonts w:ascii="Univers" w:hAnsi="Univers"/>
        </w:rPr>
        <w:t>Common-law marriages were abolished in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New York on April 29, 1933,18 as the result of an amendment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Section 11 of the Domestic Relations Law,19 which enumerated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persons by whom marriages </w:t>
      </w:r>
      <w:r>
        <w:rPr>
          <w:rFonts w:ascii="Univers" w:hAnsi="Univers"/>
        </w:rPr>
        <w:t>must be solemnized.20 Prior to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date, common-law marriages were generally recognized as valid if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entered into in this state,21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with the exception of the period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between January 1, 1902, and January 1, 1908, when such marriages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were rendered invalid by s</w:t>
      </w:r>
      <w:r>
        <w:rPr>
          <w:rFonts w:ascii="Univers" w:hAnsi="Univers"/>
        </w:rPr>
        <w:t>tatute.22</w:t>
      </w:r>
    </w:p>
    <w:p w:rsidR="00000000" w:rsidRDefault="005C4841">
      <w:pPr>
        <w:pStyle w:val="NormalWeb"/>
      </w:pPr>
      <w:r>
        <w:rPr>
          <w:rFonts w:ascii="Univers" w:hAnsi="Univers"/>
        </w:rPr>
        <w:t>While common-law marriages were abolished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New York on April 29, 1933, common-law marriages contracted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prior to that date and at a time when such marriages were </w:t>
      </w:r>
      <w:r>
        <w:rPr>
          <w:rFonts w:ascii="Univers" w:hAnsi="Univers"/>
        </w:rPr>
        <w:lastRenderedPageBreak/>
        <w:t>valid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New York, are as valid as ceremonial marriages,23 and the long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standing ru</w:t>
      </w:r>
      <w:r>
        <w:rPr>
          <w:rFonts w:ascii="Univers" w:hAnsi="Univers"/>
        </w:rPr>
        <w:t>le of conflicts of law is that recognition will be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given by New York to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a common-law marriage that is valid at the place where it was contracted.</w:t>
      </w:r>
      <w:r>
        <w:rPr>
          <w:rFonts w:ascii="Univers" w:hAnsi="Univers"/>
        </w:rPr>
        <w:t>24 Currently, 13 states and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District of Columbia permit common-law marriages to be entered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into within their borders, although such states differ as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requirements of proof.25</w:t>
      </w:r>
    </w:p>
    <w:p w:rsidR="00000000" w:rsidRDefault="005C4841">
      <w:pPr>
        <w:pStyle w:val="NormalWeb"/>
      </w:pPr>
      <w:r>
        <w:rPr>
          <w:rFonts w:ascii="Univers" w:hAnsi="Univers"/>
        </w:rPr>
        <w:t>One of the more curious things about New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York family law is the extreme position our courts have taken in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extending recognition to out-of-state common-law marriages of Ne</w:t>
      </w:r>
      <w:r>
        <w:rPr>
          <w:rFonts w:ascii="Univers" w:hAnsi="Univers"/>
        </w:rPr>
        <w:t>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Yorkers.26 Minimum contacts with a common-law marriage state are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sufficient to activate the foreign law, which then may be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construed by our courts to be something different from what it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really is. Some New York decisions have liberally interpreted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</w:t>
      </w:r>
      <w:r>
        <w:rPr>
          <w:rFonts w:ascii="Univers" w:hAnsi="Univers"/>
        </w:rPr>
        <w:t>quisites for a valid common-law marriage in another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jurisdiction, and have held that a common-law marriage was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created during a brief visit to a common-law marriage state,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whereas a close scrutiny of that state's law might show that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court of that state w</w:t>
      </w:r>
      <w:r>
        <w:rPr>
          <w:rFonts w:ascii="Univers" w:hAnsi="Univers"/>
        </w:rPr>
        <w:t>ould not have found a common-law marriage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had been contracted there, because the contacts with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jurisdiction were minimal.</w:t>
      </w:r>
    </w:p>
    <w:p w:rsidR="00000000" w:rsidRDefault="005C4841">
      <w:pPr>
        <w:pStyle w:val="NormalWeb"/>
      </w:pPr>
      <w:r>
        <w:rPr>
          <w:rFonts w:ascii="Univers" w:hAnsi="Univers"/>
        </w:rPr>
        <w:t>In other American jurisdictions it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generally is held that before a common-law marriage in another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state will be recognized, the lo</w:t>
      </w:r>
      <w:r>
        <w:rPr>
          <w:rFonts w:ascii="Univers" w:hAnsi="Univers"/>
        </w:rPr>
        <w:t>cal citizens must establish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maximum contacts with such state27 or must have been domiciled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there.28 New York decisions, however, do not require any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significant nexus with the common-law marriage state.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This attitude continues. Several recent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decision</w:t>
      </w:r>
      <w:r>
        <w:rPr>
          <w:rFonts w:ascii="Univers" w:hAnsi="Univers"/>
        </w:rPr>
        <w:t>s are illustrative. The parties 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Cross v Cross</w:t>
      </w:r>
      <w:r>
        <w:rPr>
          <w:rFonts w:ascii="Univers" w:hAnsi="Univers"/>
        </w:rPr>
        <w:t>29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had cohabited in New York without benefit of clergy, between 1965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 1983. Until 1979, the man was married to another woman and 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lacked the capacity to marry the plaintiff. Although they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traveled to oth</w:t>
      </w:r>
      <w:r>
        <w:rPr>
          <w:rFonts w:ascii="Univers" w:hAnsi="Univers"/>
        </w:rPr>
        <w:t>er jurisdictions, the parties never resided in any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other state. During the years 1979 through 1982 the parties took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 weekend trip to Pennsylvania and a trip involving a two night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stay-over to Washington D.C. The trial court declared that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common-law marr</w:t>
      </w:r>
      <w:r>
        <w:rPr>
          <w:rFonts w:ascii="Univers" w:hAnsi="Univers"/>
        </w:rPr>
        <w:t>iage existed between the plaintiff and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defendant, apparently crediting all of the plaintiff's evidence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while totally rejecting the defendant's. It found that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defendant had introduced plaintiff to the members of her own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family 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"my wife Regina"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du</w:t>
      </w:r>
      <w:r>
        <w:rPr>
          <w:rFonts w:ascii="Univers" w:hAnsi="Univers"/>
        </w:rPr>
        <w:t>ring the weekend in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Washington D.C. and during the trip to Pennsylvania he referred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to her as his wife.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rPr>
          <w:rFonts w:ascii="Univers" w:hAnsi="Univers"/>
        </w:rPr>
        <w:lastRenderedPageBreak/>
        <w:t>The trial court concluded that although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Washington D.C. followed a more rigid approach,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"confluence of the Pennsylvania trip, the Washington D.C.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</w:t>
      </w:r>
      <w:r>
        <w:rPr>
          <w:rFonts w:ascii="Univers" w:hAnsi="Univers"/>
        </w:rPr>
        <w:t>rip and the acts of the parties with respect to the Bar Mitzah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which took place at about the same time, led to the inexorable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conclusion that the parties were married in Pennsylvania and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Washington D.C."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The Appellate Division, First Department,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reve</w:t>
      </w:r>
      <w:r>
        <w:rPr>
          <w:rFonts w:ascii="Univers" w:hAnsi="Univers"/>
        </w:rPr>
        <w:t>rsed the order of the trial court holding that under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Washington, D.C. law, where a relationship between a man and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woman is illicit and meretricious in its inception, it is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presumed to so continue during the cohabitation of the parties,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 that presumpti</w:t>
      </w:r>
      <w:r>
        <w:rPr>
          <w:rFonts w:ascii="Univers" w:hAnsi="Univers"/>
        </w:rPr>
        <w:t>on will be rebutted only if the consent of both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parties capable of entering into a valid contract, is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established by clear and convincing evidence. The Appellate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Division found that the plaintiff, Regina Cross, had failed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overcome the strong presump</w:t>
      </w:r>
      <w:r>
        <w:rPr>
          <w:rFonts w:ascii="Univers" w:hAnsi="Univers"/>
        </w:rPr>
        <w:t>tion that the relationship remained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illicit and meretricious, nor did she demonstrate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"by clear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 convincing evidence, as required by Pennsylvania law,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parties agreed to enter into a valid marriage."</w:t>
      </w:r>
    </w:p>
    <w:p w:rsidR="00000000" w:rsidRDefault="005C4841">
      <w:pPr>
        <w:pStyle w:val="NormalWeb"/>
      </w:pPr>
      <w:r>
        <w:rPr>
          <w:rFonts w:ascii="Univers" w:hAnsi="Univers"/>
        </w:rPr>
        <w:t>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Lyman v Lyman</w:t>
      </w:r>
      <w:r>
        <w:rPr>
          <w:rFonts w:ascii="Univers" w:hAnsi="Univers"/>
        </w:rPr>
        <w:t>30, the Appellate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Division, F</w:t>
      </w:r>
      <w:r>
        <w:rPr>
          <w:rFonts w:ascii="Univers" w:hAnsi="Univers"/>
        </w:rPr>
        <w:t>irst Department, reversed an order of the Surrogate's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Court and found that the petitioner had failed to establish by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clear and convincing evidence that she and the deceased rock n'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roll singer, Frank Lyman, had contracted a valid common-law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in the</w:t>
      </w:r>
      <w:r>
        <w:rPr>
          <w:rFonts w:ascii="Univers" w:hAnsi="Univers"/>
        </w:rPr>
        <w:t xml:space="preserve"> State of Pennsylvania prior to his marriage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respondent-appellant. It found that the petitioner did not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meet the heavy burden of proving that she and Lyman entered into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 valid common-law marriage in Pennsylvania following her divorce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December, 1</w:t>
      </w:r>
      <w:r>
        <w:rPr>
          <w:rFonts w:ascii="Univers" w:hAnsi="Univers"/>
        </w:rPr>
        <w:t>965. In the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Lyman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case, the petitioner's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evidence was that in November, 1963 she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gave birth to Lyman's child. The infant died soon thereafter. On December 10,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1963 petitioner filed for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divorce from her then husband. Before his time to answer had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expir</w:t>
      </w:r>
      <w:r>
        <w:rPr>
          <w:rFonts w:ascii="Univers" w:hAnsi="Univers"/>
        </w:rPr>
        <w:t>ed, petitioner and Lyman took part in a purported civil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in Alexandria, Virginia, on January 23, 1964. On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application for the Virginia license petitioner indicated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she was single, although the marriage, in fact, was bigamous 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petitioner'</w:t>
      </w:r>
      <w:r>
        <w:rPr>
          <w:rFonts w:ascii="Univers" w:hAnsi="Univers"/>
        </w:rPr>
        <w:t>s divorce from her prior husband did not become final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until December, 1965. Petitioner conceeded the invalidity of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Virginia marriage but claimed that she and Lyman thereafter lived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Pennsylvania as husband and wife giving rise to a valid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common-law m</w:t>
      </w:r>
      <w:r>
        <w:rPr>
          <w:rFonts w:ascii="Univers" w:hAnsi="Univers"/>
        </w:rPr>
        <w:t>arriage recognized in the State of Pennsylvania. 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Lyman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Appellate Division found that there was substantial evidence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to the contrary which negated the Surrogate's finding </w:t>
      </w:r>
      <w:r>
        <w:rPr>
          <w:rFonts w:ascii="Univers" w:hAnsi="Univers"/>
        </w:rPr>
        <w:lastRenderedPageBreak/>
        <w:t>that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petitioner and Lyman lived together as husband and wife in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Philadelph</w:t>
      </w:r>
      <w:r>
        <w:rPr>
          <w:rFonts w:ascii="Univers" w:hAnsi="Univers"/>
        </w:rPr>
        <w:t>ia either before or after December, 1965, when her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first marriage terminated in divorce.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Cross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Lyman</w:t>
      </w:r>
      <w:r>
        <w:rPr>
          <w:rFonts w:ascii="Univers" w:hAnsi="Univers"/>
        </w:rPr>
        <w:t>, merit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comparison with the Third Department decision 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Dozak v Dozak</w:t>
      </w:r>
      <w:r>
        <w:rPr>
          <w:rFonts w:ascii="Univers" w:hAnsi="Univers"/>
        </w:rPr>
        <w:t>31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where the Appellate Division affirmed an order of the Supreme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Court which foun</w:t>
      </w:r>
      <w:r>
        <w:rPr>
          <w:rFonts w:ascii="Univers" w:hAnsi="Univers"/>
        </w:rPr>
        <w:t>d that a common-law marriage did exist between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parties under Pennsylvania law. The court noted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plaintiff testified at trial that shortly after her divorce was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finalized, she and the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 xml:space="preserve">defendant, while residing together in Pennsylvania, had a </w:t>
      </w:r>
      <w:r>
        <w:t>discussion about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and exchanged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vows. Specifically, plaintiff testified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"well we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just decided that we would from that day on, as far as we were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concerned in our hearts, we were man and wife, and we would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consider ourselves a family and con</w:t>
      </w:r>
      <w:r>
        <w:rPr>
          <w:rFonts w:ascii="Univers" w:hAnsi="Univers"/>
        </w:rPr>
        <w:t>tinue thus."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Plaintiff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also presented the testimony of a witness who testified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during the relevant time period, he and plaintiff's sister were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present at the parties' residence in Pennsylvania when plaintiff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announced that she and defendant had exchan</w:t>
      </w:r>
      <w:r>
        <w:rPr>
          <w:rFonts w:ascii="Univers" w:hAnsi="Univers"/>
        </w:rPr>
        <w:t>ged marriage vows with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each other. According to the witness, plaintiff made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announcement and responded by saying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"help me make it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through the night."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Defendant denied ever exchanging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vows with plaintiff and testified that he did not recall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</w:t>
      </w:r>
      <w:r>
        <w:rPr>
          <w:rFonts w:ascii="Univers" w:hAnsi="Univers"/>
        </w:rPr>
        <w:t xml:space="preserve"> incident referred to.</w:t>
      </w:r>
    </w:p>
    <w:p w:rsidR="00000000" w:rsidRDefault="005C4841">
      <w:pPr>
        <w:pStyle w:val="NormalWeb"/>
      </w:pPr>
      <w:r>
        <w:rPr>
          <w:rFonts w:ascii="Univers" w:hAnsi="Univers"/>
        </w:rPr>
        <w:t>The Appellate Division, Third Department,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found the plaintiff's testimony to be truthful, and believed it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constituted clear and convincing proof that what began as an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illicit relationship had been converted into a valid marriage by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</w:t>
      </w:r>
      <w:r>
        <w:rPr>
          <w:rFonts w:ascii="Univers" w:hAnsi="Univers"/>
        </w:rPr>
        <w:t>he parties agreement to be man and wife and to consider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themselves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"family"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 continued to be thus. Based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upon this testimony, the court found that plaintiff met her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burden of proof under Pennsylvania law.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In each one of these recent decisions,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</w:t>
      </w:r>
      <w:r>
        <w:rPr>
          <w:rFonts w:ascii="Univers" w:hAnsi="Univers"/>
        </w:rPr>
        <w:t>he court interpreted the law of Pennsylvania as it applied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common-law marriages and as it believed the law of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jurisdiction to be. While local citizens must establish maximum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contact or be domiciled there to establish a common-law marriage,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none of </w:t>
      </w:r>
      <w:r>
        <w:rPr>
          <w:rFonts w:ascii="Univers" w:hAnsi="Univers"/>
        </w:rPr>
        <w:t>these decisions discusses the length of the contact with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state, or the domicile of the parties as a significant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factor. 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Dozak v Dozak</w:t>
      </w:r>
      <w:r>
        <w:rPr>
          <w:rFonts w:ascii="Univers" w:hAnsi="Univers"/>
        </w:rPr>
        <w:t>, the New York court found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burden of proof had been met by plaintiff, notwithstanding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that the parties ther</w:t>
      </w:r>
      <w:r>
        <w:rPr>
          <w:rFonts w:ascii="Univers" w:hAnsi="Univers"/>
        </w:rPr>
        <w:t>eafter moved to New York. Notably,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burden of proof under Pennsylvania law is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"clear and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convincing evidence".</w:t>
      </w:r>
    </w:p>
    <w:p w:rsidR="00000000" w:rsidRDefault="005C4841">
      <w:pPr>
        <w:pStyle w:val="NormalWeb"/>
      </w:pPr>
      <w:r>
        <w:rPr>
          <w:rFonts w:ascii="Univers" w:hAnsi="Univers"/>
        </w:rPr>
        <w:lastRenderedPageBreak/>
        <w:t>The final chapter is far from written 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Jennings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v Hurt</w:t>
      </w:r>
      <w:r>
        <w:rPr>
          <w:rFonts w:ascii="Univers" w:hAnsi="Univers"/>
        </w:rPr>
        <w:t>. We note that in its determination on the application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for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pendente lite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support32, th</w:t>
      </w:r>
      <w:r>
        <w:rPr>
          <w:rFonts w:ascii="Univers" w:hAnsi="Univers"/>
        </w:rPr>
        <w:t>e Supreme Court stated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under South Carolina law there too must be an agreement for a man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 woman to take each other as husband and wife, and that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relationship which is illicit in its inception does not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automatically become a common-law marriage on</w:t>
      </w:r>
      <w:r>
        <w:rPr>
          <w:rFonts w:ascii="Univers" w:hAnsi="Univers"/>
        </w:rPr>
        <w:t>ce the impediment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is removed. However, Sandra Jennings' burden of proof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may be easier, because, as the court pointed out, under South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Carolina 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"the person claiming the common-law marriage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must prove it by a preponderance of the evidence."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  <w:jc w:val="center"/>
      </w:pPr>
      <w:r>
        <w:rPr>
          <w:rFonts w:ascii="Univers" w:hAnsi="Univers"/>
          <w:u w:val="single"/>
        </w:rPr>
        <w:t>FOOTNOTES</w:t>
      </w:r>
    </w:p>
    <w:p w:rsidR="00000000" w:rsidRDefault="005C4841">
      <w:pPr>
        <w:pStyle w:val="NormalWeb"/>
      </w:pPr>
      <w:r>
        <w:rPr>
          <w:rFonts w:ascii="Univers" w:hAnsi="Univers"/>
        </w:rPr>
        <w:t>(1) See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"Lawyer Opposing Hurt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Fighting Uphill Battle"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by Marvine Howe, N.Y. Times, June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26, 1989, P. B4, col. 1.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(2) Id.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(3) NYLJ, 7-7-88, p.25, col 3. Sup Ct,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N.Y. Co. (Silberman, J.)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(4) See also,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People Magazine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July 10, 1989.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(5)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Lyman v Lyman</w:t>
      </w:r>
      <w:r>
        <w:rPr>
          <w:rFonts w:ascii="Univers" w:hAnsi="Univers"/>
        </w:rPr>
        <w:t>, AD2d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NYS2d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</w:rPr>
        <w:t>, NYLJ, 6-8-89, p. 23, col 1, (1st Dept. 1989).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(6) See Judiciary Law, Section 140-b.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lastRenderedPageBreak/>
        <w:t>(7) 1, Clark,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Law of Domestic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Relations</w:t>
      </w:r>
      <w:r>
        <w:rPr>
          <w:rFonts w:ascii="Univers" w:hAnsi="Univers"/>
        </w:rPr>
        <w:t>, 69-70 (1988); II Pollock and Maitland,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History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of English Law</w:t>
      </w:r>
      <w:r>
        <w:rPr>
          <w:rFonts w:ascii="Univers" w:hAnsi="Univers"/>
        </w:rPr>
        <w:t>, 370 (1898).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(8) Id. at 368</w:t>
      </w:r>
      <w:r>
        <w:rPr>
          <w:rFonts w:ascii="Univers" w:hAnsi="Univers"/>
        </w:rPr>
        <w:t>; Canon law on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Continent was changed by the Council of Trent (1543-1563)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require that marriage occur in the presence of a priest, but this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had no effect in England.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(9) Lord Hardwicke's Act, 1753, 26 Geo.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II, c. 33. Fleet marriages were performed </w:t>
      </w:r>
      <w:r>
        <w:rPr>
          <w:rFonts w:ascii="Univers" w:hAnsi="Univers"/>
        </w:rPr>
        <w:t>without formalities, by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disreputable parsons imprisoned in the Fleet Prison. They had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become a public scandal and the desire to eliminate them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influenced the passage of Lord Hardwicke's Act. It was repealed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1857.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(10) See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Dalrymple v. Dalrymple</w:t>
      </w:r>
      <w:r>
        <w:rPr>
          <w:rFonts w:ascii="Univers" w:hAnsi="Univers"/>
        </w:rPr>
        <w:t>, 2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Hag</w:t>
      </w:r>
      <w:r>
        <w:rPr>
          <w:rFonts w:ascii="Univers" w:hAnsi="Univers"/>
        </w:rPr>
        <w:t>g. Con. 54, Eng. Rep. 665 (1811).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(11) 1 Bishop,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Marriage, Divorce and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Separation</w:t>
      </w:r>
      <w:r>
        <w:rPr>
          <w:rFonts w:ascii="Univers" w:hAnsi="Univers"/>
        </w:rPr>
        <w:t>, 177 (1891); II Howard,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History of Matrimonial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Institutions</w:t>
      </w:r>
      <w:r>
        <w:rPr>
          <w:rFonts w:ascii="Univers" w:hAnsi="Univers"/>
        </w:rPr>
        <w:t>, ch XII (1904), and III Id., ch. XVIII. Maryland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was an exception. See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Denison v. Denison</w:t>
      </w:r>
      <w:r>
        <w:rPr>
          <w:rFonts w:ascii="Univers" w:hAnsi="Univers"/>
        </w:rPr>
        <w:t>, 35 Md. 361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(1872). Bu</w:t>
      </w:r>
      <w:r>
        <w:rPr>
          <w:rFonts w:ascii="Univers" w:hAnsi="Univers"/>
        </w:rPr>
        <w:t>t see Koegel,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Common Law Marriage</w:t>
      </w:r>
      <w:r>
        <w:rPr>
          <w:rFonts w:ascii="Univers" w:hAnsi="Univers"/>
        </w:rPr>
        <w:t>, ch. V.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(1922), and Lorenzen,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Marriage by Proxy and the Conflict of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Laws</w:t>
      </w:r>
      <w:r>
        <w:rPr>
          <w:rFonts w:ascii="Univers" w:hAnsi="Univers"/>
        </w:rPr>
        <w:t>, 32 Harv. L. Rev. 473, 482 (1919).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(12) See the discussion 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Hoage v.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Murch Bros. Const. Co</w:t>
      </w:r>
      <w:r>
        <w:rPr>
          <w:rFonts w:ascii="Univers" w:hAnsi="Univers"/>
        </w:rPr>
        <w:t>., 60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rPr>
          <w:rFonts w:ascii="Univers" w:hAnsi="Univers"/>
        </w:rPr>
        <w:t>App.D.C. 218, 50 F.2d 983 (1931) and in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Goebel,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Development of Legal Institutions</w:t>
      </w:r>
      <w:r>
        <w:rPr>
          <w:rFonts w:ascii="Univers" w:hAnsi="Univers"/>
        </w:rPr>
        <w:t>, 519, 525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(1946). Massachusetts had such a statute, Laws and Liberties of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Massachusetts, Reprinted from 1648 Edition in the Henry E.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Huntington Library (Cambridge 1929) pp. 37, 38, requiring banns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and a ceremony.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</w:t>
      </w:r>
      <w:r>
        <w:rPr>
          <w:rFonts w:ascii="Univers" w:hAnsi="Univers"/>
        </w:rPr>
        <w:t>13) II Pollock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&amp;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Maitland,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History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of English 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386 (1898).</w:t>
      </w:r>
    </w:p>
    <w:p w:rsidR="00000000" w:rsidRDefault="005C4841">
      <w:pPr>
        <w:pStyle w:val="NormalWeb"/>
      </w:pPr>
      <w:r>
        <w:lastRenderedPageBreak/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(14) 32 Hen. VIII, c. 38 (1541). See 1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Blackstone,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Commentaries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434;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Bacon's Abridgement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291 (7th ed.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1832).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(15) 5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Bacon's Abridgement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289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(7th ed. 1832).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(16)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Cheney v. Arnold</w:t>
      </w:r>
      <w:r>
        <w:rPr>
          <w:rFonts w:ascii="Univers" w:hAnsi="Univers"/>
        </w:rPr>
        <w:t>, (1857) 15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 345;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Clayton v. Wardell</w:t>
      </w:r>
      <w:r>
        <w:rPr>
          <w:rFonts w:ascii="Univers" w:hAnsi="Univers"/>
        </w:rPr>
        <w:t>, (1850) 4 NY 230;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O'Neil's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Estate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(1946) 187 Misc 832, 64 NYS2d 714, affd 272 App Div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919, 71 NYS2d 720;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Taegen v Taegen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</w:rPr>
        <w:t>(1946, Sup) 61 NYS2d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869, affd 272 App Div 871, 72, NYS2d 402;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Apostol's Estate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(1945, Sur) 53 NYS2d </w:t>
      </w:r>
      <w:r>
        <w:rPr>
          <w:rFonts w:ascii="Univers" w:hAnsi="Univers"/>
        </w:rPr>
        <w:t>661.</w:t>
      </w:r>
      <w:r>
        <w:rPr>
          <w:rFonts w:ascii="Univers" w:hAnsi="Univers"/>
        </w:rPr>
        <w:t xml:space="preserve"> 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(17) See Foster and Freed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</w:t>
      </w:r>
      <w:r>
        <w:rPr>
          <w:rFonts w:ascii="Univers" w:hAnsi="Univers"/>
          <w:u w:val="single"/>
        </w:rPr>
        <w:t>Law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and the Family, New York's Recognition of Common-Law Marriages</w:t>
      </w:r>
      <w:r>
        <w:rPr>
          <w:rFonts w:ascii="Univers" w:hAnsi="Univers"/>
        </w:rPr>
        <w:t>,"39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NYLJ, August 24, 1984, p 1, col 1, page 22, cols 1-6.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(18)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Rizzo's Estate</w:t>
      </w:r>
      <w:r>
        <w:rPr>
          <w:rFonts w:ascii="Univers" w:hAnsi="Univers"/>
        </w:rPr>
        <w:t>, (1956,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Sur) 154 NYS2d 691, affd (2d Dept) 2 App Div 2d 993, 158 NYS2d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90, reh and app den (2d Dept) 3 App Div 2d 764, 161 NYS2d 579;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Bloch's Estate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(1948, Sur) 79 NYS2d 6;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Adams v Adams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(1946) 188 Misc 381, 67 NYS2d 752;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Anonymous v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Anonymous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(1940, Dom Rel Ct) 19 NYS2d 415;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Taylor v Taylor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(1937)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164 Misc 401, 298 NYS 9</w:t>
      </w:r>
      <w:r>
        <w:rPr>
          <w:rFonts w:ascii="Univers" w:hAnsi="Univers"/>
        </w:rPr>
        <w:t>12.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(19) Laws 1933, Ch 606, eff April 29,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1933.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(20)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Anonymous v Anonymous</w:t>
      </w:r>
      <w:r>
        <w:rPr>
          <w:rFonts w:ascii="Univers" w:hAnsi="Univers"/>
        </w:rPr>
        <w:t>, (1940,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Dom Rel Ct) 19 NYS2d 229;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Andrews v Andrews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</w:rPr>
        <w:t>(1937)) 166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Misc 297, 1 NYS2d 760.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See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People v Heine</w:t>
      </w:r>
      <w:r>
        <w:rPr>
          <w:rFonts w:ascii="Univers" w:hAnsi="Univers"/>
        </w:rPr>
        <w:t>, (1960, 2d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Dept) 12 App Div 2d 36, 208 NYS2d 188, affd 9 NY2d 925, 21</w:t>
      </w:r>
      <w:r>
        <w:rPr>
          <w:rFonts w:ascii="Univers" w:hAnsi="Univers"/>
        </w:rPr>
        <w:t>7 NYS2d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93, 176 NE2d 102, where the court said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"the only effect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of the 1933 amendment to section 11 was to abolish common-law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marriages."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lastRenderedPageBreak/>
        <w:t>(21)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Haffner's Estate</w:t>
      </w:r>
      <w:r>
        <w:rPr>
          <w:rFonts w:ascii="Univers" w:hAnsi="Univers"/>
        </w:rPr>
        <w:t>, (1930)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254 NY 238, 172 NE 483;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Ziegler v P. Cassidy's Sons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(1917) 229 NY 98, 115 NE </w:t>
      </w:r>
      <w:r>
        <w:rPr>
          <w:rFonts w:ascii="Univers" w:hAnsi="Univers"/>
        </w:rPr>
        <w:t>471;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Taylor v Taylor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(1903) 173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 266, 65 NE 1098;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Gall v Gall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(1889) 114 NY 109, 21 NE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106;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Hynes v McDermott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(1883) 91 NY 451;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Badger v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Badger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(1882) 88 NY 546;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O'Gara v Eisenlohr</w:t>
      </w:r>
      <w:r>
        <w:rPr>
          <w:rFonts w:ascii="Univers" w:hAnsi="Univers"/>
        </w:rPr>
        <w:t>, (1868) 38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 296;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Hayes v People</w:t>
      </w:r>
      <w:r>
        <w:rPr>
          <w:rFonts w:ascii="Univers" w:hAnsi="Univers"/>
        </w:rPr>
        <w:t>, (1862) 25 NY 390;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Clayton v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Wardell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</w:t>
      </w:r>
      <w:r>
        <w:rPr>
          <w:rFonts w:ascii="Univers" w:hAnsi="Univers"/>
        </w:rPr>
        <w:t>850) 4 NY 230;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Jenkins v Bisbee</w:t>
      </w:r>
      <w:r>
        <w:rPr>
          <w:rFonts w:ascii="Univers" w:hAnsi="Univers"/>
        </w:rPr>
        <w:t>, 1 Edw Ch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377;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Fenton v Reed</w:t>
      </w:r>
      <w:r>
        <w:rPr>
          <w:rFonts w:ascii="Univers" w:hAnsi="Univers"/>
        </w:rPr>
        <w:t>, 4 Johns 52.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(22)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Seymour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(1920) 113 Misc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421, 185 NYS 373;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Mancini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(1919) 108 Misc 102, 178 NYS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57.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Laws of 1901, Ch 339, expressly provided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that no marriage claimed to have been contracted on or after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1st day of January, 1902, within New York state otherwise than 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provided in the article, should be valid for any purposes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whatsoever, and it was held that such provision invalidated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common-</w:t>
      </w:r>
      <w:r>
        <w:rPr>
          <w:rFonts w:ascii="Univers" w:hAnsi="Univers"/>
        </w:rPr>
        <w:t>law marriages.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Pettit v Pettit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(1905) 105 App Div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312, 93 NYS 1001. That provision, however, was repealed by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Laws of 1907, Ch 742, and it was held that common-law marriages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contracted after such repeal were valid.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Ziegler v P.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Cassidy's Sons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(1917) 220</w:t>
      </w:r>
      <w:r>
        <w:rPr>
          <w:rFonts w:ascii="Univers" w:hAnsi="Univers"/>
        </w:rPr>
        <w:t xml:space="preserve"> NY 98, 115 NE 471;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Hinman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(1911) 147 App Div 452, 131 NYS 861, affd 206 NY 653, 99 NE 1109;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Smith's Estate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(1911) 74 Misc 11, 133 NYS 730.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(23)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People v Massaro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(1942) 288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 211, 42 NE2d 491.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(24) The leading case is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Shea v Shea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(1945) 294 NY 9</w:t>
      </w:r>
      <w:r>
        <w:rPr>
          <w:rFonts w:ascii="Univers" w:hAnsi="Univers"/>
        </w:rPr>
        <w:t>09, 63 NE2d 113.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(25) See 1, Clark,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Law of Domestic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Relations</w:t>
      </w:r>
      <w:r>
        <w:rPr>
          <w:rFonts w:ascii="Univers" w:hAnsi="Univers"/>
        </w:rPr>
        <w:t>, p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103 (1988); The jurisdictions are: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Alabama</w:t>
      </w:r>
      <w:r>
        <w:rPr>
          <w:rFonts w:ascii="Univers" w:hAnsi="Univers"/>
        </w:rPr>
        <w:t>: Ala.Code 1983, 30-1-9,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tit. 34;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Krug v Krug</w:t>
      </w:r>
      <w:r>
        <w:rPr>
          <w:rFonts w:ascii="Univers" w:hAnsi="Univers"/>
        </w:rPr>
        <w:t>. 292 Ala. 498, 296 So.2d 715 (1974).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lastRenderedPageBreak/>
        <w:t>Colorado</w:t>
      </w:r>
      <w:r>
        <w:rPr>
          <w:rFonts w:ascii="Univers" w:hAnsi="Univers"/>
        </w:rPr>
        <w:t>: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Moffat Coal Co. v.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Industrial Commission</w:t>
      </w:r>
      <w:r>
        <w:rPr>
          <w:rFonts w:ascii="Univers" w:hAnsi="Univers"/>
        </w:rPr>
        <w:t>, 108 Colo</w:t>
      </w:r>
      <w:r>
        <w:rPr>
          <w:rFonts w:ascii="Univers" w:hAnsi="Univers"/>
        </w:rPr>
        <w:t>. 388, 118 P.2d 769 (1941);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Deter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v. Deter,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484 P.2d 805 (Colo. App. 1971).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District of Columbia</w:t>
      </w:r>
      <w:r>
        <w:rPr>
          <w:rFonts w:ascii="Univers" w:hAnsi="Univers"/>
        </w:rPr>
        <w:t>: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Matthews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v. Britton</w:t>
      </w:r>
      <w:r>
        <w:rPr>
          <w:rFonts w:ascii="Univers" w:hAnsi="Univers"/>
        </w:rPr>
        <w:t>, 303 F.2d 408 (D.C Cr. 1962)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Georgia</w:t>
      </w:r>
      <w:r>
        <w:rPr>
          <w:rFonts w:ascii="Univers" w:hAnsi="Univers"/>
        </w:rPr>
        <w:t>: Official Ga.Code Ann.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53-101 (1982);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Aksew v.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Dupree</w:t>
      </w:r>
      <w:r>
        <w:rPr>
          <w:rFonts w:ascii="Univers" w:hAnsi="Univers"/>
        </w:rPr>
        <w:t>, 30 Ga. 173 (1860).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Idaho</w:t>
      </w:r>
      <w:r>
        <w:rPr>
          <w:rFonts w:ascii="Univers" w:hAnsi="Univers"/>
        </w:rPr>
        <w:t>: Idaho Code 32-201 (1983);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Hamby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v. J.R. Simplot Co</w:t>
      </w:r>
      <w:r>
        <w:rPr>
          <w:rFonts w:ascii="Univers" w:hAnsi="Univers"/>
        </w:rPr>
        <w:t>., 94 Idaho 794, 498 P.2d 1267 (1972).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Iowa</w:t>
      </w:r>
      <w:r>
        <w:rPr>
          <w:rFonts w:ascii="Univers" w:hAnsi="Univers"/>
        </w:rPr>
        <w:t>: Iowa Code Ann. 595.11 (West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Supp. 1984);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In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Long's Estate</w:t>
      </w:r>
      <w:r>
        <w:rPr>
          <w:rFonts w:ascii="Univers" w:hAnsi="Univers"/>
        </w:rPr>
        <w:t>, 251 Iowa 1042,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102 N.W.2d 76 (1960).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Kansas</w:t>
      </w:r>
      <w:r>
        <w:rPr>
          <w:rFonts w:ascii="Univers" w:hAnsi="Univers"/>
        </w:rPr>
        <w:t>: Kan. Stat. Ann. 23-101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(1981);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State v. Johnson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216 Kan. 445. 532 P.2d 1325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(1975).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Montana</w:t>
      </w:r>
      <w:r>
        <w:rPr>
          <w:rFonts w:ascii="Univers" w:hAnsi="Univers"/>
        </w:rPr>
        <w:t>: Mont. Code Ann. 40-1-403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(1983).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Ohio</w:t>
      </w:r>
      <w:r>
        <w:rPr>
          <w:rFonts w:ascii="Univers" w:hAnsi="Univers"/>
        </w:rPr>
        <w:t>: Ohio Rev. Code 3101.08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(1980);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Umbenhower v. Labus</w:t>
      </w:r>
      <w:r>
        <w:rPr>
          <w:rFonts w:ascii="Univers" w:hAnsi="Univers"/>
        </w:rPr>
        <w:t>. 85 Ohio St. 238, 97 N.E. 832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(1912).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Oklahoma</w:t>
      </w:r>
      <w:r>
        <w:rPr>
          <w:rFonts w:ascii="Univers" w:hAnsi="Univers"/>
        </w:rPr>
        <w:t>: Okl. Stat. tit. 43, 1,4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(1979);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Quinton v Webb</w:t>
      </w:r>
      <w:r>
        <w:rPr>
          <w:rFonts w:ascii="Univers" w:hAnsi="Univers"/>
        </w:rPr>
        <w:t>, 207 Okl. 133, 248 P.2d 586 (1952).</w:t>
      </w:r>
    </w:p>
    <w:p w:rsidR="00000000" w:rsidRDefault="005C4841">
      <w:pPr>
        <w:pStyle w:val="NormalWeb"/>
      </w:pPr>
      <w:r>
        <w:lastRenderedPageBreak/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Pennsylvania</w:t>
      </w:r>
      <w:r>
        <w:rPr>
          <w:rFonts w:ascii="Univers" w:hAnsi="Univers"/>
        </w:rPr>
        <w:t>: Pa. Stat. tit. 48,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1-23 (1965);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In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McGrath's Estate</w:t>
      </w:r>
      <w:r>
        <w:rPr>
          <w:rFonts w:ascii="Univers" w:hAnsi="Univers"/>
        </w:rPr>
        <w:t>, 319 Pa. 309,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179 A. 599 (1935).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Rhode Island</w:t>
      </w:r>
      <w:r>
        <w:rPr>
          <w:rFonts w:ascii="Univers" w:hAnsi="Univers"/>
        </w:rPr>
        <w:t>: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Souza v. O Hara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121 R.I. 88, 395 A.2d 1060 (1978).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South Carolina</w:t>
      </w:r>
      <w:r>
        <w:rPr>
          <w:rFonts w:ascii="Univers" w:hAnsi="Univers"/>
        </w:rPr>
        <w:t>: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Ex parte Romans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78 S.C. 210,</w:t>
      </w:r>
      <w:r>
        <w:rPr>
          <w:rFonts w:ascii="Univers" w:hAnsi="Univers"/>
        </w:rPr>
        <w:t xml:space="preserve"> 58 S.E. 614 (1907). But cf. S.C. Code 1977, 20-21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providing that it is unlawful to contract matrimony without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license.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Texas</w:t>
      </w:r>
      <w:r>
        <w:rPr>
          <w:rFonts w:ascii="Univers" w:hAnsi="Univers"/>
        </w:rPr>
        <w:t>: V.T.C.A., Fam. Code 1.91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(1975);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Ex Parte Threet</w:t>
      </w:r>
      <w:r>
        <w:rPr>
          <w:rFonts w:ascii="Univers" w:hAnsi="Univers"/>
        </w:rPr>
        <w:t>, 160 Tex. 482, 333 S.W.2d 361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(1960).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(26)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Shea v Shea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(1945) 294 NY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909, </w:t>
      </w:r>
      <w:r>
        <w:rPr>
          <w:rFonts w:ascii="Univers" w:hAnsi="Univers"/>
        </w:rPr>
        <w:t>63 NE2d 113.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See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Klienman v. Klienman,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NYLJ,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Sep 21, 1973, p 18, cols 1-2 (Nassau Co 1973), where the parties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were divorced, but resumed cohabitation and made a visit to Ohio,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 common-law marriage state. See also,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Reda v. Reda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(1973,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2d Dept) 41 App Div</w:t>
      </w:r>
      <w:r>
        <w:rPr>
          <w:rFonts w:ascii="Univers" w:hAnsi="Univers"/>
        </w:rPr>
        <w:t xml:space="preserve"> 2d 848, 342 NYS2d 634, vacated 34 NY2d 716,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356 NYS2d 862, 313 NE2d 341 (brief visit to Florida); and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Ventura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v. Ventura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(1967) 53 Misc 2d 881, 280 NYS2d 5 which held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no particular period of cohabitation in Georgia was required by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its laws to effect </w:t>
      </w:r>
      <w:r>
        <w:rPr>
          <w:rFonts w:ascii="Univers" w:hAnsi="Univers"/>
        </w:rPr>
        <w:t>a common-law marriage. A July 4 weekend trip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by the New Yorkers to Georgia, one night at a motel and two days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with friends, was held to be a sufficient nexus.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Farber v U.S. Trucking Corp.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(1970) 26 NY2d 44, 308 NYS2d 358, 256 NE2d 521, there was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</w:t>
      </w:r>
      <w:r>
        <w:rPr>
          <w:rFonts w:ascii="Univers" w:hAnsi="Univers"/>
        </w:rPr>
        <w:t>ree-weeks stay in Florida (which later abolished common-law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marriages in 1968); 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Ventura v. Ventura</w:t>
      </w:r>
      <w:r>
        <w:rPr>
          <w:rFonts w:ascii="Univers" w:hAnsi="Univers"/>
        </w:rPr>
        <w:t>, (1967) 53 Misc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2d 881, 280 NYS2d 5, the couple spent three days in Georgia; and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McCullon v. McCullon</w:t>
      </w:r>
      <w:r>
        <w:rPr>
          <w:rFonts w:ascii="Univers" w:hAnsi="Univers"/>
        </w:rPr>
        <w:t>, (1978) 96 Misc 2d 962, 410 NYS2d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226, there were</w:t>
      </w:r>
      <w:r>
        <w:rPr>
          <w:rFonts w:ascii="Univers" w:hAnsi="Univers"/>
        </w:rPr>
        <w:t xml:space="preserve"> occasional visits to relatives in Pennsylvania.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Estate of Benjamin</w:t>
      </w:r>
      <w:r>
        <w:rPr>
          <w:rFonts w:ascii="Univers" w:hAnsi="Univers"/>
        </w:rPr>
        <w:t>, (1974) 34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NY2d 27, 355 NYS2d 356, 311 NE2d 495, held that common-law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marriages, although abolished in New York on April 29, 1933, are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valid if </w:t>
      </w:r>
      <w:r>
        <w:rPr>
          <w:rFonts w:ascii="Univers" w:hAnsi="Univers"/>
        </w:rPr>
        <w:lastRenderedPageBreak/>
        <w:t>contracted in New York by competent par</w:t>
      </w:r>
      <w:r>
        <w:rPr>
          <w:rFonts w:ascii="Univers" w:hAnsi="Univers"/>
        </w:rPr>
        <w:t>ties prior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that date and remain valid. A subsequent denial of the marriage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or a change of mind by one the parties, said the court does not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invalidate the marriage. The court also held that the party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asserting the common-law marriage has the burden of pr</w:t>
      </w:r>
      <w:r>
        <w:rPr>
          <w:rFonts w:ascii="Univers" w:hAnsi="Univers"/>
        </w:rPr>
        <w:t>oof;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although the agreement need not be proved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in any particular way, it may be proved by direct or circumstantial evidence by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documentary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evidence, by cohabitation and reputation as husband and wife,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acknowledgment, declaration, or conduct and the lik</w:t>
      </w:r>
      <w:r>
        <w:rPr>
          <w:rFonts w:ascii="Univers" w:hAnsi="Univers"/>
        </w:rPr>
        <w:t>e. Although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cohabitation and holding out to the world as husband and wife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raises a presumption of common-law marriage, the presumption is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rebuttable and may yield to the stronger presumption attaching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 subsequent ceremonial marriage.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See also,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McCull</w:t>
      </w:r>
      <w:r>
        <w:rPr>
          <w:rFonts w:ascii="Univers" w:hAnsi="Univers"/>
          <w:u w:val="single"/>
        </w:rPr>
        <w:t>on v. McCullon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(1978) 96 Misc 2d 962, 410 NYS2d 226, which held that annual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visits to relatives in Pennsylvania effected a common-law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there which New York would recognize. Pennsylvania has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exceedingly strict requirements for effecting a common-la</w:t>
      </w:r>
      <w:r>
        <w:rPr>
          <w:rFonts w:ascii="Univers" w:hAnsi="Univers"/>
        </w:rPr>
        <w:t>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there and insists upon proof of an exchange of marriage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vows in the present tense.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  <w:u w:val="single"/>
        </w:rPr>
        <w:t>Mott v. Duncan Petroleum Trans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(1980) 51 NY2d 289, 434, NYS2d 155, 414 NE2d 657, held that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although a common-law marriage cannot be contracted in New York,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New</w:t>
      </w:r>
      <w:r>
        <w:rPr>
          <w:rFonts w:ascii="Univers" w:hAnsi="Univers"/>
        </w:rPr>
        <w:t xml:space="preserve"> York will recognize as valid here, a common-law marriage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which is valid where contracted.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The law to be applied by New York in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determining the validity of an out-of-state alleged common-law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marriage, is the law of the State where the marriage occurred.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In that case, the eligibility of claimant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to death benefits as the widow of John Mott, depended upon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whether the parties were married under the law of Georgia.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Court of Appeals, reviewing the proofs necessary to establish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common-law marriage, held that while the burden of proving the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existence of such a marriage is on the one asserting its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validity, all that need be shown is that the parties possessed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the ability to contract, that a contract of marriage was made and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that th</w:t>
      </w:r>
      <w:r>
        <w:rPr>
          <w:rFonts w:ascii="Univers" w:hAnsi="Univers"/>
        </w:rPr>
        <w:t>e marriage was consummated according to law. [Ga. Code Ann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 xml:space="preserve">53-101] Under Georgia law proof of the </w:t>
      </w:r>
      <w:r>
        <w:rPr>
          <w:rFonts w:ascii="Univers" w:hAnsi="Univers"/>
        </w:rPr>
        <w:lastRenderedPageBreak/>
        <w:t>existence of a contract of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marriage must include proof of a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"present intent to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marry"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in the State of Georgia.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(27) See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Clark, Law of Domestic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Relations</w:t>
      </w:r>
      <w:r>
        <w:rPr>
          <w:rFonts w:ascii="Univers" w:hAnsi="Univers"/>
        </w:rPr>
        <w:t>, 57 (1968).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Kennedy v Damron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(1954, Ky) 268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SW2d 22, is the leading case requiring substantial contacts. See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also,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Metropolitan Life Insurance Co. v Chase</w:t>
      </w:r>
      <w:r>
        <w:rPr>
          <w:rFonts w:ascii="Univers" w:hAnsi="Univers"/>
        </w:rPr>
        <w:t>, (1961, CA3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NJ) 294 F2d 500 (applying New Jersey law);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Winn v Wiggins</w:t>
      </w:r>
      <w:r>
        <w:rPr>
          <w:rFonts w:ascii="Univers" w:hAnsi="Univers"/>
        </w:rPr>
        <w:t>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(1957) 47 NJ Super 215, 135 A</w:t>
      </w:r>
      <w:r>
        <w:rPr>
          <w:rFonts w:ascii="Univers" w:hAnsi="Univers"/>
        </w:rPr>
        <w:t>2d 673; and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Peirce v Peirce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(1942) 379 Ill 185, 39 NE2d 990.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(28) The leading case is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Veta's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Estate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(1946) 110 Utah 187, 170 l2d 183. See also, Re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Binger's</w:t>
      </w:r>
      <w:r>
        <w:rPr>
          <w:rFonts w:ascii="Univers" w:hAnsi="Univers"/>
          <w:u w:val="single"/>
        </w:rPr>
        <w:t xml:space="preserve"> </w:t>
      </w:r>
      <w:r>
        <w:rPr>
          <w:rFonts w:ascii="Univers" w:hAnsi="Univers"/>
          <w:u w:val="single"/>
        </w:rPr>
        <w:t>Estates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(1954) 158 Neb 444, 63 NW 2d 784.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(29)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Cross v Cross</w:t>
      </w:r>
      <w:r>
        <w:rPr>
          <w:rFonts w:ascii="Univers" w:hAnsi="Univers"/>
        </w:rPr>
        <w:t>, AD2d , NYS2d 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NYLJ, 4-28</w:t>
      </w:r>
      <w:r>
        <w:rPr>
          <w:rFonts w:ascii="Univers" w:hAnsi="Univers"/>
        </w:rPr>
        <w:t>-89, p. 21,col. 3 (1st Dept. 1989).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(30)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Lyman v Lyman</w:t>
      </w:r>
      <w:r>
        <w:rPr>
          <w:rFonts w:ascii="Univers" w:hAnsi="Univers"/>
        </w:rPr>
        <w:t>, AD2d , NYS2d 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NYLJ, 6-8-89, p. 23, col. 1 (1st Dept. 1989).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(31)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Dozak v Dozak</w:t>
      </w:r>
      <w:r>
        <w:rPr>
          <w:rFonts w:ascii="Univers" w:hAnsi="Univers"/>
        </w:rPr>
        <w:t>, AD2d , 528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NYS2d 712 (3d Dept. 1989).</w:t>
      </w:r>
    </w:p>
    <w:p w:rsidR="00000000" w:rsidRDefault="005C4841">
      <w:pPr>
        <w:pStyle w:val="NormalWeb"/>
      </w:pPr>
      <w:r>
        <w:t> </w:t>
      </w:r>
    </w:p>
    <w:p w:rsidR="00000000" w:rsidRDefault="005C4841">
      <w:pPr>
        <w:pStyle w:val="NormalWeb"/>
      </w:pPr>
      <w:r>
        <w:rPr>
          <w:rFonts w:ascii="Univers" w:hAnsi="Univers"/>
        </w:rPr>
        <w:t>(32)</w:t>
      </w:r>
      <w:r>
        <w:rPr>
          <w:rFonts w:ascii="Univers" w:hAnsi="Univers"/>
        </w:rPr>
        <w:t xml:space="preserve"> </w:t>
      </w:r>
      <w:r>
        <w:rPr>
          <w:rFonts w:ascii="Univers" w:hAnsi="Univers"/>
          <w:u w:val="single"/>
        </w:rPr>
        <w:t>Jennings v Hurt</w:t>
      </w:r>
      <w:r>
        <w:rPr>
          <w:rFonts w:ascii="Univers" w:hAnsi="Univers"/>
        </w:rPr>
        <w:t>, NYLJ,</w:t>
      </w:r>
      <w:r>
        <w:rPr>
          <w:rFonts w:ascii="Univers" w:hAnsi="Univers"/>
        </w:rPr>
        <w:t xml:space="preserve"> </w:t>
      </w:r>
      <w:r>
        <w:rPr>
          <w:rFonts w:ascii="Univers" w:hAnsi="Univers"/>
        </w:rPr>
        <w:t>7-7-89, p. 25, col. 3, Sup. Ct., N.Y.Co. (Silbe</w:t>
      </w:r>
      <w:r>
        <w:rPr>
          <w:rFonts w:ascii="Univers" w:hAnsi="Univers"/>
        </w:rPr>
        <w:t>rman, J.).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C4841"/>
    <w:rsid w:val="005C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73E45-A7EA-4407-BBBF-47F02DEA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4483</Words>
  <Characters>22228</Characters>
  <Application>Microsoft Office Word</Application>
  <DocSecurity>0</DocSecurity>
  <Lines>185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Law Marriage Article. New York Divorce and Family Law, the definitive site about divorce, child support and custody.</vt:lpstr>
    </vt:vector>
  </TitlesOfParts>
  <Company/>
  <LinksUpToDate>false</LinksUpToDate>
  <CharactersWithSpaces>26658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Law Marriage Article. New York Divorce and Family Law, the definitive site about divorce, child support and custody.</dc:title>
  <dc:subject/>
  <dc:creator>Joel Brandes</dc:creator>
  <cp:keywords/>
  <dc:description/>
  <cp:lastModifiedBy>Joel Brandes</cp:lastModifiedBy>
  <cp:revision>2</cp:revision>
  <dcterms:created xsi:type="dcterms:W3CDTF">2016-07-13T02:44:00Z</dcterms:created>
  <dcterms:modified xsi:type="dcterms:W3CDTF">2016-07-13T02:44:00Z</dcterms:modified>
</cp:coreProperties>
</file>